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D8C" w:rsidRDefault="00E15D8C" w:rsidP="00E15D8C">
      <w:pPr>
        <w:widowControl w:val="0"/>
        <w:autoSpaceDE w:val="0"/>
        <w:autoSpaceDN w:val="0"/>
        <w:adjustRightInd w:val="0"/>
        <w:spacing w:before="108" w:after="108" w:line="240" w:lineRule="auto"/>
        <w:ind w:left="4961"/>
        <w:jc w:val="right"/>
        <w:outlineLvl w:val="0"/>
        <w:rPr>
          <w:rFonts w:ascii="Times New Roman CYR" w:hAnsi="Times New Roman CYR" w:cs="Times New Roman CYR"/>
          <w:bCs/>
          <w:color w:val="26282F"/>
          <w:sz w:val="28"/>
          <w:szCs w:val="28"/>
        </w:rPr>
      </w:pPr>
      <w:bookmarkStart w:id="0" w:name="_GoBack"/>
      <w:bookmarkEnd w:id="0"/>
      <w:r>
        <w:rPr>
          <w:rFonts w:ascii="Times New Roman CYR" w:hAnsi="Times New Roman CYR" w:cs="Times New Roman CYR"/>
          <w:bCs/>
          <w:color w:val="26282F"/>
          <w:sz w:val="28"/>
          <w:szCs w:val="28"/>
        </w:rPr>
        <w:t>Приложение 11                                   к государственной программе «Развитие топливно-энергетического комплекса и жилищно-коммунального хозяйства Брянской области»</w:t>
      </w:r>
    </w:p>
    <w:p w:rsidR="00E15D8C" w:rsidRDefault="00E15D8C" w:rsidP="00E15D8C">
      <w:pPr>
        <w:widowControl w:val="0"/>
        <w:autoSpaceDE w:val="0"/>
        <w:autoSpaceDN w:val="0"/>
        <w:adjustRightInd w:val="0"/>
        <w:spacing w:before="108" w:after="108" w:line="240" w:lineRule="auto"/>
        <w:ind w:left="4962"/>
        <w:outlineLvl w:val="0"/>
        <w:rPr>
          <w:rFonts w:ascii="Times New Roman CYR" w:hAnsi="Times New Roman CYR" w:cs="Times New Roman CYR"/>
          <w:bCs/>
          <w:color w:val="26282F"/>
          <w:sz w:val="28"/>
          <w:szCs w:val="28"/>
        </w:rPr>
      </w:pPr>
    </w:p>
    <w:p w:rsidR="00E15D8C" w:rsidRPr="00B14001" w:rsidRDefault="00E15D8C" w:rsidP="00E15D8C">
      <w:pPr>
        <w:widowControl w:val="0"/>
        <w:autoSpaceDE w:val="0"/>
        <w:autoSpaceDN w:val="0"/>
        <w:adjustRightInd w:val="0"/>
        <w:spacing w:before="108" w:after="108" w:line="240" w:lineRule="auto"/>
        <w:jc w:val="center"/>
        <w:outlineLvl w:val="0"/>
        <w:rPr>
          <w:rFonts w:ascii="Times New Roman" w:hAnsi="Times New Roman" w:cs="Times New Roman"/>
          <w:bCs/>
          <w:color w:val="26282F"/>
          <w:sz w:val="28"/>
          <w:szCs w:val="28"/>
        </w:rPr>
      </w:pPr>
      <w:r w:rsidRPr="00A85BFF">
        <w:rPr>
          <w:rFonts w:ascii="Times New Roman CYR" w:hAnsi="Times New Roman CYR" w:cs="Times New Roman CYR"/>
          <w:b/>
          <w:bCs/>
          <w:color w:val="26282F"/>
          <w:sz w:val="24"/>
          <w:szCs w:val="24"/>
        </w:rPr>
        <w:t xml:space="preserve"> </w:t>
      </w:r>
      <w:r w:rsidRPr="00B14001">
        <w:rPr>
          <w:rFonts w:ascii="Times New Roman" w:hAnsi="Times New Roman" w:cs="Times New Roman"/>
          <w:bCs/>
          <w:color w:val="26282F"/>
          <w:sz w:val="28"/>
          <w:szCs w:val="28"/>
        </w:rPr>
        <w:t>Характеристика текущего состояния топливно-энергетического комплекса и жилищно-коммунального хозяйства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Топливно-энергетический комплекс является важнейшей структурной составляющей экономики. От развития топливно-энергетического комплекса во многом зависит динамика, масштабы и технико-экономические показатели общественного производства, в первую очередь - промышленности.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Вместе с тем, нормальному функционированию топливно-энергетического комплекса препятствует дефицит инвестиций, высокий уровень морального и физического износа основных фондов, увеличение его негативного влияния на окружающую среду.</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Основными потребителями топливно-энергетических ресурсов являются промышленность, жилищно-коммунальное хозяйство, транспорт и сельское хозяйство.</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Высокая энергоемкость и электроемкость валового регионального продукта Брянской области связана, прежде всего, с особенностями в структуре экономики и промышленности. В Брянской области высока доля энергоемких отраслей: машиностроение и металлообработка, пищевая промышленность, электроэнергетика, промышленность стройматериалов, деревообработка и целлюлозно-бумажная промышленность. Высокая энергоемкость экономики Брянской области негативно влияет на конкурентоспособность промышленной продукции на отечественном и зарубежных рынках, способствует росту нагрузки коммунальных платежей на местные и областной бюджеты, снижает энергетическую и экологическую безопасность региона. Поэтому повышение энергетической и экологической эффективности экономики и энергосбережение являются важнейшими условиями развития.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этой связи все более актуальным становится вопрос сокращения потребления энергетических ресурсов всеми хозяйствующими субъектами путем энергосбережения и повышения энергетической эффективности.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Необходим комплекс мер, которые приведут к сокращению расходов энергии. В первую очередь речь идет об оснащении объектов приборами учета потребляемых энергетических ресурсов, об использовании современного энергосберегающего оборудования, о необходимости проведения энергетического обследования в целях получения достоверной </w:t>
      </w:r>
      <w:r w:rsidRPr="00A85BFF">
        <w:rPr>
          <w:rFonts w:ascii="Times New Roman" w:hAnsi="Times New Roman" w:cs="Times New Roman"/>
          <w:sz w:val="28"/>
          <w:szCs w:val="28"/>
        </w:rPr>
        <w:lastRenderedPageBreak/>
        <w:t>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Мероприятия программы должны стать не только инструментом повышения эффективности экономики и снижения бюджетных расходов на коммунальные услуги, но и способствовать преодолению энергетических барьеров экономического роста, в том числе за счет средств, высвобождаемых в результате реализации энергосберегающих мероприятий.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Реализация программных мероприятий будет способствовать устойчивому обеспечению экономики и населения области топливом и энергией, сокращению удельного потребления топливно-энергетических ресурсов в организациях бюджетной сферы и регионального сектора экономики, росту конкурентоспособности, энергетической и экологической безопасности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Развитие энергетической инфраструктуры обеспечивается, в том числе, в рамках реализации инвестиционных программ субъектов электроэнергетики.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настоящее время в установленном порядке утверждены инвестиционные программы субъектов электроэнергетики Брянской области с общим объемом финансирования 6 393,226 млн. рубля.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Под инвестиционной программой понимается совокупность всех намеченных к реализации или реализуемых субъектом электроэнергетики инвестиционных проектов, в том числе проектов, предусматривающих энергосбережение и повышение энергетической эффективности, создание систем противоаварийной и режимной автоматики, а также устройств регулирования напряжения и компенсации реактивной мощности.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ведомстве департамента находится ГУП "Брянсккоммунэнерго".</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Предприятие как имущественный комплекс создано с целью получения прибыли. Для достижения целей предприятие осуществляет основную деятельность по производству, передаче тепловой энергии и горячей воды потребителям.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Сейчас ГУП "Брянсккоммунэнерго" является крупнейшим теплоснабжающим предприятием Брянской области и осуществляет поставку тепловой энергии и горячего водоснабжения потребителям на территории Брянской области и города Брянска.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Теплоснабжение относится к регулируемым видам деятельности. Тарифы на тепловую энергию и горячее водоснабжение устанавливаются управлением государственного регулирования тарифов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За 2019 год чистый убыток деятельности предприятия составил 127 614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 состоянию на 01.01.2019 г. кредиторская задолженность предприятия сложилась в сумме 4 263 044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 состоянию на 01.10.2020 г. кредиторская задолженность предприятия сложилась в сумме 4 206 740,0 тыс. рубля.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По состоянию на 01.01.2019 г. дебиторская задолженность предприятия </w:t>
      </w:r>
      <w:r w:rsidRPr="00A85BFF">
        <w:rPr>
          <w:rFonts w:ascii="Times New Roman" w:hAnsi="Times New Roman" w:cs="Times New Roman"/>
          <w:sz w:val="28"/>
          <w:szCs w:val="28"/>
        </w:rPr>
        <w:lastRenderedPageBreak/>
        <w:t>сложилась в сумме 2 212 267,00 тыс. рублей, на 01.01.2020 - в сумме 2 306 364,00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На кризисное финансовое состояние предприятия оказал негативное влияние факт передачи в 2013 году задолженности за природный газ по договорам переуступки долга от ОАО "Брянские коммунальные системы" и ООО "Брянсктеплоэнерго" на общую сумму 1567 млн. руб.</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Кроме того, финансовое состояние предприятия ухудшается за счет передачи в эксплуатацию объектов и теплоснабжения от предыдущих поставщиков. Так, в течение 2015 года произошло увеличение объектов, эксплуатируемых ГУП "Брянсккоммунэнерго":</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предприятие приняло в хозяйственное ведение 68 объектов теплоснабжения в Брянском районе;</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согласно распоряжениям Правительства Брянской области также были переданы в хозяйственное ведение 13 объектов теплоснабжения по Медведовскому и Смолевичскому поселениям Клинцовского района и Белоберезковскому городскому поселению Трубчевского района.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Комплексное решение проблемы стабилизации финансово-экономического состояния предприятия будет возможно при утверждении экономически обоснованных тарифов на тепловую энергию и горячее водоснабжение со сбалансированной структурой, отражающей экономически обоснованные расходы на производство, с последующим выделением части тарифной выручки на проведение мероприятий и работ, направленных на развитие системы теплоснабжения.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рамках государственной программы «Развитие топливно-энергетического комплекса и жилищно-коммунального хозяйства Брянской области были выделены субсидии из областного  бюджета на строительство новых и реконструкцию существующих котельных ГУП «Брянсккоммунэнерго». За четыре года было выделено 600,0 млн.рублей. </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За период с 2017 по 2018 годы построено 3 блочно-модульных котельных, выполнена реконструкция и техническое перевооружение 12 котельных с установкой современного энергоэффективного оборудования. </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2019 году проведена реконструкция еще 6 котельных и построено 3 блочно-модульных котельных.</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2020 году ведется строительство еще двух  блочно-модульных котельных.</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Проведение модернизации и строительство новых котельных привело к существенному снижению рисков нештатных ситуаций, повысило безопасность, надежность  безаварийной работы теплового хозяйства региона, снизило издержки, что в свою очередь высвобождает значительные средства для  продолжения  работы по реконструкции и техническому перевооружению  теплового хозяйства.                                                                                                                                                                                                                                                                                                                                                                                                                  </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Жилищно-коммунальное хозяйство является важнейшей сферой социально-экономической структуры общества и в то же время одним из самых больших секторов экономики. В последние годы предприняты меры по реформированию отрасли, предусматривающие модернизацию всего </w:t>
      </w:r>
      <w:r w:rsidRPr="00A85BFF">
        <w:rPr>
          <w:rFonts w:ascii="Times New Roman" w:hAnsi="Times New Roman" w:cs="Times New Roman"/>
          <w:sz w:val="28"/>
          <w:szCs w:val="28"/>
        </w:rPr>
        <w:lastRenderedPageBreak/>
        <w:t>жилищно-коммунального хозяйства страны. Однако, ситуация в отрасли по-прежнему остается сложной.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Основные проблемы, сдерживающие развитие отрасли: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низкая инвестиционная привлекательность;</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наличие большой задолженности, необязательность всех участников процесса по отношению друг к другу в оплате услуг;</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высокий процент изношенности коммунальной инфраструктуры и в целом основных фондов;</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не проведены в полном объеме инвентаризация и регистрация имущества ЖКХ, что не дает возможность оценить в полном объеме состояние отрасли;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высокие риски для инвесторов.</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Реальные преобразования в сфере жилищно-коммунального хозяйства области были начаты в 2007 году с принятием Концепции реформирования жилищно-коммунального хозяйства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Проблема состояния жилищного фонда является источником целого ряда отрицательных социальных тенденций. В результате несоответствия требованиям, предъявляемым к жилым помещениям, жителям не обеспечивается комфортное проживание, граждане не могут получать полный набор жилищно-коммунальных услуг надлежащего качества, а аварийное жилье создает угрозу их жизни и здоровью. Ветхий и аварийный жилищный фонд ухудшает внешний облик населенных пунктов, сдерживает развитие инфраструктуры, понижает инвестиционную привлекательность региона.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 состоянию на 1 июля 2007 года в Брянской области более 86,6 тыс. кв. м жилья было признано аварийным и 5863,7 тыс. кв. м нуждалось в проведении капитального ремонта. При этом в аварийном жилищном фонде проживало 5464 человека (0,41%).</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Принятие </w:t>
      </w:r>
      <w:hyperlink r:id="rId6" w:history="1">
        <w:r w:rsidRPr="004971F7">
          <w:rPr>
            <w:rFonts w:ascii="Times New Roman" w:hAnsi="Times New Roman" w:cs="Times New Roman"/>
            <w:sz w:val="28"/>
            <w:szCs w:val="28"/>
          </w:rPr>
          <w:t>Федерального закона</w:t>
        </w:r>
      </w:hyperlink>
      <w:r w:rsidRPr="00A85BFF">
        <w:rPr>
          <w:rFonts w:ascii="Times New Roman" w:hAnsi="Times New Roman" w:cs="Times New Roman"/>
          <w:sz w:val="28"/>
          <w:szCs w:val="28"/>
        </w:rPr>
        <w:t xml:space="preserve"> от 21 июля 2007 года N 185-ФЗ "О Фонде содействия реформированию жилищно-коммунального хозяйства" и выделение финансовой поддержки за счет средств государственной корпорации - Фонда содействия реформированию жилищно-коммунального хозяйства позволило кардинально увеличить финансирование мероприятий, направленных на улучшение состояния жилищного фонда.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2008 - 2012 годах в Брянской области ежегодно реализовывались региональные программы капитального ремонта многоквартирных домов и переселения граждан из аварийного жилого фонда с привлечением средств государственной корпорации - Фонда содействия реформированию жилищно-коммунального хозяйства.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С 2013 года реализация мероприятий по переселению граждан из аварийного жилищного фонда осуществлялась в рамках </w:t>
      </w:r>
      <w:hyperlink r:id="rId7" w:history="1">
        <w:r w:rsidRPr="004971F7">
          <w:rPr>
            <w:rFonts w:ascii="Times New Roman" w:hAnsi="Times New Roman" w:cs="Times New Roman"/>
            <w:sz w:val="28"/>
            <w:szCs w:val="28"/>
          </w:rPr>
          <w:t>региональной адресной программы</w:t>
        </w:r>
      </w:hyperlink>
      <w:r w:rsidRPr="00A85BFF">
        <w:rPr>
          <w:rFonts w:ascii="Times New Roman" w:hAnsi="Times New Roman" w:cs="Times New Roman"/>
          <w:sz w:val="28"/>
          <w:szCs w:val="28"/>
        </w:rPr>
        <w:t xml:space="preserve"> "Переселение граждан из аварийного жилищного фонда на территории Брянской области" (2013 - 2017 годы).</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настоящее время в соответствии с </w:t>
      </w:r>
      <w:hyperlink r:id="rId8" w:history="1">
        <w:r w:rsidRPr="004971F7">
          <w:rPr>
            <w:rFonts w:ascii="Times New Roman" w:hAnsi="Times New Roman" w:cs="Times New Roman"/>
            <w:sz w:val="28"/>
            <w:szCs w:val="28"/>
          </w:rPr>
          <w:t>Федеральным законом</w:t>
        </w:r>
      </w:hyperlink>
      <w:r w:rsidRPr="004971F7">
        <w:rPr>
          <w:rFonts w:ascii="Times New Roman" w:hAnsi="Times New Roman" w:cs="Times New Roman"/>
          <w:sz w:val="28"/>
          <w:szCs w:val="28"/>
        </w:rPr>
        <w:t xml:space="preserve"> от 21.07.2007 N 185-ФЗ "О Фонде содействия реформированию жил</w:t>
      </w:r>
      <w:r w:rsidRPr="00A85BFF">
        <w:rPr>
          <w:rFonts w:ascii="Times New Roman" w:hAnsi="Times New Roman" w:cs="Times New Roman"/>
          <w:sz w:val="28"/>
          <w:szCs w:val="28"/>
        </w:rPr>
        <w:t>ищно-</w:t>
      </w:r>
      <w:r w:rsidRPr="00A85BFF">
        <w:rPr>
          <w:rFonts w:ascii="Times New Roman" w:hAnsi="Times New Roman" w:cs="Times New Roman"/>
          <w:sz w:val="28"/>
          <w:szCs w:val="28"/>
        </w:rPr>
        <w:lastRenderedPageBreak/>
        <w:t>коммунального хозяйства" реализация региональной адресной программы на территории Брянской области завершена.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Результатом реализации программы стало переселение граждан из 222 аварийных домов расселяемой площадью 47 тыс. 487 кв. м. Для переселения 3139 человек были приобретены 1369 квартир. В программе участвовало 21 муниципальное образование. Все квартиры приобретены во вновь построенных домах с полной социальной отделкой.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Общая стоимость программных мероприятий составила 1 млрд. 618 млн. рублей, в том числе средства Фонда - 783,972 млн.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2019 году в рамках национального проекта "Жилье и городская среда" начинается реализация </w:t>
      </w:r>
      <w:hyperlink r:id="rId9" w:history="1">
        <w:r w:rsidRPr="00AE6414">
          <w:rPr>
            <w:rFonts w:ascii="Times New Roman" w:hAnsi="Times New Roman" w:cs="Times New Roman"/>
            <w:sz w:val="28"/>
            <w:szCs w:val="28"/>
          </w:rPr>
          <w:t>федерального проекта</w:t>
        </w:r>
      </w:hyperlink>
      <w:r w:rsidRPr="00A85BFF">
        <w:rPr>
          <w:rFonts w:ascii="Times New Roman" w:hAnsi="Times New Roman" w:cs="Times New Roman"/>
          <w:sz w:val="28"/>
          <w:szCs w:val="28"/>
        </w:rPr>
        <w:t xml:space="preserve"> "Обеспечение устойчивого сокращения непригодного для проживания жилищного фонда". Задачей федерального проекта является создание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 В рамках настоящей государственной программы на реализацию регионального проекта "Обеспечение устойчивого сокращения непригодного для проживания жилищного фонда</w:t>
      </w:r>
      <w:r>
        <w:rPr>
          <w:rFonts w:ascii="Times New Roman" w:hAnsi="Times New Roman" w:cs="Times New Roman"/>
          <w:sz w:val="28"/>
          <w:szCs w:val="28"/>
        </w:rPr>
        <w:t xml:space="preserve"> (Брянская область)</w:t>
      </w:r>
      <w:r w:rsidRPr="00A85BFF">
        <w:rPr>
          <w:rFonts w:ascii="Times New Roman" w:hAnsi="Times New Roman" w:cs="Times New Roman"/>
          <w:sz w:val="28"/>
          <w:szCs w:val="28"/>
        </w:rPr>
        <w:t>" в период 2019 - 2021 годов планируется направить 221,29 млн. рублей, в том числе средства федерального бюджета - 219,07 млн.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Брянской области с 2008 по 2013 год по региональным программам был проведен капитальный ремонт 983 многоквартирных домов общей площадью 1683,8 тыс. кв. м. В программах капитального ремонта приняли участие 71 муниципальное образование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Общая сумма финансирования составила 2562,4 млн. рублей, из них средства государственной корпорации - Фонда содействия реформированию жилищно-коммунального хозяйства - 2151,7 млн.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соответствии со </w:t>
      </w:r>
      <w:hyperlink r:id="rId10" w:history="1">
        <w:r w:rsidRPr="00AE6414">
          <w:rPr>
            <w:rFonts w:ascii="Times New Roman" w:hAnsi="Times New Roman" w:cs="Times New Roman"/>
            <w:sz w:val="28"/>
            <w:szCs w:val="28"/>
          </w:rPr>
          <w:t>статьями 153</w:t>
        </w:r>
      </w:hyperlink>
      <w:r w:rsidRPr="00AE6414">
        <w:rPr>
          <w:rFonts w:ascii="Times New Roman" w:hAnsi="Times New Roman" w:cs="Times New Roman"/>
          <w:sz w:val="28"/>
          <w:szCs w:val="28"/>
        </w:rPr>
        <w:t xml:space="preserve"> и </w:t>
      </w:r>
      <w:hyperlink r:id="rId11" w:history="1">
        <w:r w:rsidRPr="00AE6414">
          <w:rPr>
            <w:rFonts w:ascii="Times New Roman" w:hAnsi="Times New Roman" w:cs="Times New Roman"/>
            <w:sz w:val="28"/>
            <w:szCs w:val="28"/>
          </w:rPr>
          <w:t>154</w:t>
        </w:r>
      </w:hyperlink>
      <w:r w:rsidRPr="00A85BFF">
        <w:rPr>
          <w:rFonts w:ascii="Times New Roman" w:hAnsi="Times New Roman" w:cs="Times New Roman"/>
          <w:sz w:val="28"/>
          <w:szCs w:val="28"/>
        </w:rPr>
        <w:t xml:space="preserve"> Жилищного кодекса Российской Федерации собственник помещения в многоквартирном доме обязан участвовать в расходах на содержание общего имущества в многоквартирном доме соразмерно своей доле в праве общей собственности на это имущество через обязательство оплаты за содержание и текущий ремонт жилого помещения и взносов на капитальный ремонт.</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соответствии с требованиями </w:t>
      </w:r>
      <w:hyperlink r:id="rId12" w:history="1">
        <w:r w:rsidRPr="00AE6414">
          <w:rPr>
            <w:rFonts w:ascii="Times New Roman" w:hAnsi="Times New Roman" w:cs="Times New Roman"/>
            <w:sz w:val="28"/>
            <w:szCs w:val="28"/>
          </w:rPr>
          <w:t>Жилищного кодекса</w:t>
        </w:r>
      </w:hyperlink>
      <w:r w:rsidRPr="00AE6414">
        <w:rPr>
          <w:rFonts w:ascii="Times New Roman" w:hAnsi="Times New Roman" w:cs="Times New Roman"/>
          <w:sz w:val="28"/>
          <w:szCs w:val="28"/>
        </w:rPr>
        <w:t xml:space="preserve"> </w:t>
      </w:r>
      <w:r w:rsidRPr="00A85BFF">
        <w:rPr>
          <w:rFonts w:ascii="Times New Roman" w:hAnsi="Times New Roman" w:cs="Times New Roman"/>
          <w:sz w:val="28"/>
          <w:szCs w:val="28"/>
        </w:rPr>
        <w:t xml:space="preserve">Российской Федерации </w:t>
      </w:r>
      <w:r w:rsidRPr="00AE6414">
        <w:rPr>
          <w:rFonts w:ascii="Times New Roman" w:hAnsi="Times New Roman" w:cs="Times New Roman"/>
          <w:sz w:val="28"/>
          <w:szCs w:val="28"/>
        </w:rPr>
        <w:t xml:space="preserve">и </w:t>
      </w:r>
      <w:hyperlink r:id="rId13" w:history="1">
        <w:r w:rsidRPr="00AE6414">
          <w:rPr>
            <w:rFonts w:ascii="Times New Roman" w:hAnsi="Times New Roman" w:cs="Times New Roman"/>
            <w:sz w:val="28"/>
            <w:szCs w:val="28"/>
          </w:rPr>
          <w:t>Закона</w:t>
        </w:r>
      </w:hyperlink>
      <w:r w:rsidRPr="00A85BFF">
        <w:rPr>
          <w:rFonts w:ascii="Times New Roman" w:hAnsi="Times New Roman" w:cs="Times New Roman"/>
          <w:sz w:val="28"/>
          <w:szCs w:val="28"/>
        </w:rPr>
        <w:t xml:space="preserve"> Брянской области от 11.06.2013 N 40-З "Об организации проведения капитального ремонта общего имущества в многоквартирных домах, расположенных на территории Брянской области" с 2013 года функционирует региональный оператор - Фонд капитального ремонта многоквартирных домов Брянской области, который координирует деятельность по проведению капитального ремонта общего имущества в многоквартирных домах.</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Для перспективного планирования и организации проведения капитального ремонта общего имущества в многоквартирных домах Брянской области </w:t>
      </w:r>
      <w:hyperlink r:id="rId14" w:history="1">
        <w:r w:rsidRPr="00AE6414">
          <w:rPr>
            <w:rFonts w:ascii="Times New Roman" w:hAnsi="Times New Roman" w:cs="Times New Roman"/>
            <w:sz w:val="28"/>
            <w:szCs w:val="28"/>
          </w:rPr>
          <w:t>постановлением</w:t>
        </w:r>
      </w:hyperlink>
      <w:r w:rsidRPr="00AE6414">
        <w:rPr>
          <w:rFonts w:ascii="Times New Roman" w:hAnsi="Times New Roman" w:cs="Times New Roman"/>
          <w:sz w:val="28"/>
          <w:szCs w:val="28"/>
        </w:rPr>
        <w:t xml:space="preserve"> Правительства Брянской области от </w:t>
      </w:r>
      <w:r w:rsidRPr="00AE6414">
        <w:rPr>
          <w:rFonts w:ascii="Times New Roman" w:hAnsi="Times New Roman" w:cs="Times New Roman"/>
          <w:sz w:val="28"/>
          <w:szCs w:val="28"/>
        </w:rPr>
        <w:lastRenderedPageBreak/>
        <w:t xml:space="preserve">30.12.2013 N 802-п утверждена </w:t>
      </w:r>
      <w:hyperlink r:id="rId15" w:history="1">
        <w:r w:rsidRPr="00AE6414">
          <w:rPr>
            <w:rFonts w:ascii="Times New Roman" w:hAnsi="Times New Roman" w:cs="Times New Roman"/>
            <w:sz w:val="28"/>
            <w:szCs w:val="28"/>
          </w:rPr>
          <w:t>региональная программа</w:t>
        </w:r>
      </w:hyperlink>
      <w:r w:rsidRPr="00A85BFF">
        <w:rPr>
          <w:rFonts w:ascii="Times New Roman" w:hAnsi="Times New Roman" w:cs="Times New Roman"/>
          <w:sz w:val="28"/>
          <w:szCs w:val="28"/>
        </w:rPr>
        <w:t xml:space="preserve"> "Проведение капитального ремонта общего имущества многоквартирных домов на территории Брянской области" (2014 - 2043 годы).</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краткосрочных планов реализации региональной программы по состоянию на 01.07.2018 выполнен капитальный ремонт 1164 многоквартирных домов на сумму 2 341,54 млн. рублей, общей площадью 2034,4 тыс. кв. 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Эффективность управления многоквартирным домом один из самых важных вопросов в сфере жилищно-коммунального хозяйства.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соответствии с требованиями </w:t>
      </w:r>
      <w:hyperlink r:id="rId16" w:history="1">
        <w:r w:rsidRPr="00AE6414">
          <w:rPr>
            <w:rFonts w:ascii="Times New Roman" w:hAnsi="Times New Roman" w:cs="Times New Roman"/>
            <w:sz w:val="28"/>
            <w:szCs w:val="28"/>
          </w:rPr>
          <w:t>Жилищного кодекса</w:t>
        </w:r>
      </w:hyperlink>
      <w:r w:rsidRPr="00A85BFF">
        <w:rPr>
          <w:rFonts w:ascii="Times New Roman" w:hAnsi="Times New Roman" w:cs="Times New Roman"/>
          <w:sz w:val="28"/>
          <w:szCs w:val="28"/>
        </w:rPr>
        <w:t xml:space="preserve"> Российской Федерации собственники жилых помещений в многоквартирных домах должны выбрать способ управления данными домами. Доля многоквартирных домов, в которых выбран и реализуется способ управления многоквартирными домами, по итогам 1 полугодия 2020 года составила 99,01%, в том числе: непосредственное управление собственниками помещений в многоквартирном доме - 15,9 %, управление товариществом собственников жилья либо жилищным кооперативом или иным специализированным потребительским кооперативом - 5,91%, управление управляющей организацией - 77,2 %.</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Управление должно обеспечивать благоприятные условия проживания, надлежащее содержание общего имущества в многоквартирном доме, решение вопросов пользования указанным имуществом, предоставление жилищных и коммунальных услуг гражданам. Вместе с тем, в соответствии с законодательством собственники многоквартирного дома имеют право сменить способ управления домом. В связи с чем доля многоквартирных домов,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может изменяться как в большую, так и в меньшую сторону.</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целях создания благоприятных условий для деятельности товариществ собственников жилья издано постановление администрации области от 08.02.2008 N 105 "О создании на территории Брянской области благоприятных условий для образования и деятельности товариществ собственников жилья". По состоянию на 01.07.2020 г. в Брянской области зарегистрированы 271 ТСЖ (на 01.01.2008 было 112 ТСЖ) и 8 жилищно-строительных кооперативов, управляющих  многоквартирными домами общей площадью 1768,4 тыс. кв. м.-382</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4987 многоквартирных домов выбрали управляющую компанию, непосредственное управление избрали собственники 1027 домов.</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целях установления контроля над деятельностью управляющих организаций 25 декабря 2009 года в Брянской области создано некоммерческое партнерство управляющих многоквартирными домами "Гильдия управляющих компаний Брянской области", зарегистрировано в федеральном реестре Минэкономразвития как саморегулируемая организация.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lastRenderedPageBreak/>
        <w:t>Основными задачами организации предусматривается формирование единых стандартов управления объектами недвижимости, координация взаимодействия управляющих компаний с поставщиками коммунальных услуг и их потребителями, органами власти, а в конечном итоге - создание эффективного и качественного рынка услуг по управлению недвижимостью.</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Действенной мерой, способствующей повышению конкуренции в сфере управления жилищным фондом, является реализация </w:t>
      </w:r>
      <w:hyperlink r:id="rId17" w:history="1">
        <w:r w:rsidRPr="00A85BFF">
          <w:rPr>
            <w:rFonts w:ascii="Times New Roman" w:hAnsi="Times New Roman" w:cs="Times New Roman"/>
            <w:color w:val="106BBE"/>
            <w:sz w:val="28"/>
            <w:szCs w:val="28"/>
          </w:rPr>
          <w:t>постановления</w:t>
        </w:r>
      </w:hyperlink>
      <w:r w:rsidRPr="00A85BFF">
        <w:rPr>
          <w:rFonts w:ascii="Times New Roman" w:hAnsi="Times New Roman" w:cs="Times New Roman"/>
          <w:sz w:val="28"/>
          <w:szCs w:val="28"/>
        </w:rPr>
        <w:t xml:space="preserve"> администрации Брянской области от 29.06.2011 N 588 "О повышении ответственности и об организации работы по созданию рейтинга управляющих организации, товариществ собственников жилья либо жилищных кооперативов или иных специализированных потребительских кооперативов перед собственниками помещений в многоквартирных домах, расположенных на территории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Указанным нормативным актом утверждены типовые критерии оценки эффективности работы в жилищной сфере управляющих и иных организаций, осуществляющих управление многоквартирными домами.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Оценка эффективности деятельности организаций, управляющих жилищным фондом, формируется по пяти основным направлениям: масштаб деятельности, финансовая устойчивость, эффективность, репутация и прозрачность. Всего в рейтинге от Брянской области участвуют 260 управляющих компаний (включая 78 ТСЖ), обслуживающих 5867 домов общей площадью 17,25 млн. кв. 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муниципальных образованиях области созданы постоянно действующие комиссии по оказанию помощи собственникам помещений в многоквартирных домах по применению критериев оценки эффективности работы управляющих компаний. Данные критерии доведены до сведения собственников путем размещения на официальных сайтах администраций, на сходах граждан, в периодических средствах массовой информации.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Разработано и утверждено </w:t>
      </w:r>
      <w:hyperlink r:id="rId18" w:history="1">
        <w:r w:rsidRPr="00AE6414">
          <w:rPr>
            <w:rFonts w:ascii="Times New Roman" w:hAnsi="Times New Roman" w:cs="Times New Roman"/>
            <w:sz w:val="28"/>
            <w:szCs w:val="28"/>
          </w:rPr>
          <w:t>постановление</w:t>
        </w:r>
      </w:hyperlink>
      <w:r w:rsidRPr="00A85BFF">
        <w:rPr>
          <w:rFonts w:ascii="Times New Roman" w:hAnsi="Times New Roman" w:cs="Times New Roman"/>
          <w:sz w:val="28"/>
          <w:szCs w:val="28"/>
        </w:rPr>
        <w:t xml:space="preserve"> Правительства Брянской области от 03.06.2013 N 179-п "Об утверждении перечня мероприятий, направленных на информирование населения о принимаемых органами государственной власти и органами местного самоуправления мерах в сфере жилищно-коммунального хозяйства и по вопросам развития общественного контроля в этой сфере на территории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Данным документом определяется информационный ресурс, обеспечивающий информирование населения по вышеуказанным вопросам, конкретизирован перечень информации, подлежащий размещению, в том числе контактная информация структур, предлагающих помощь населению в решении вопросов, связанных с отраслью.</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целях формирования института ответственного собственника жилья, повышения уровня знаний населения в жилищно-коммунальной сфере и улучшения качества предоставляемых жилищно-коммунальных услуг разработан и утвержден приказом департамента ТЭК и ЖКХ Брянской области от 14.06.2012 N 112-п комплекс мероприятий по правовому просвещению граждан в жилищно-коммунальной сфере с определением </w:t>
      </w:r>
      <w:r w:rsidRPr="00A85BFF">
        <w:rPr>
          <w:rFonts w:ascii="Times New Roman" w:hAnsi="Times New Roman" w:cs="Times New Roman"/>
          <w:sz w:val="28"/>
          <w:szCs w:val="28"/>
        </w:rPr>
        <w:lastRenderedPageBreak/>
        <w:t>сроков и ответственных исполнителей.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Реализация вышеперечисленных мероприятий способствует улучшению качества предоставляемых жилищно-коммунальных услуг, прозрачности сферы ЖКХ.</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Другим важнейшим направлением реформирования ЖКХ является развитие системы управления имущественным комплексом коммунальной сферы, в том числе с использованием механизмов государственно-частного партнерства.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Гарантированное обеспечение каждого гражданина России чистой питьевой водой, безопасность водопользования являются важнейшими направлениями социальной политики государства, лежащими в основе благополучия человека и определяющими качество его жизни.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 данным Роспотребнадзора, более половины населения страны вынуждено использовать для питьевых целей воду, несоответствующую по ряду показателей установленным нормативам, почти треть граждан получают воду из источников водоснабжения без соответствующей водоподготовки, население ряда регионов страдает от недостатка питьевой воды и отсутствия связанных с этим надлежащих санитарно-бытовых условий проживания.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настоящее время в Брянской области 30 тыс. населения, проживающего в 901 населенном пункте, вообще не имеет систем водоснабжения, что негативно отражается на водно-питьевом балансе территорий и является основной причиной распространения различных заболеваний.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Самой острой и нерешенной остается в отдельных населенных пунктах области проблема повышенного содержания в подземных водах: нитратов (Комаричи, Брасово, Локоть, Севск), стронция (г. Дятьково), железа (практически на всей территории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Ограничение роста тарифов на услуги организаций коммунального комплекса привело к снижению их доходной части, одновременно к росту себестоимости коммунальных услуг в связи с удорожанием энергоносителей и к сокращению расходов на ремонтные и восстановительные работы коммунальной инфраструктуры.</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Сложившееся положение требует системного подхода к проблеме обеспечения населения качественной питьевой водой и принятия мер по охране и рациональному использованию источников питьевого водоснабжения, реконструкции и строительству объектов водопроводно-канализационного хозяйства, а также по повышению инвестиционной привлекательности отрасли.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Вопрос обеспечения населения качественной питьевой водой определен в 2018 году майским указом Президента Российской Федерации В.В. Путина. Правительством Российской Федерации разработаны национальные проекты по 12 направлениям социально-экономического развития страны, одним из которых стал национальный проект "Экология", в рамках которого будет реализовываться </w:t>
      </w:r>
      <w:hyperlink r:id="rId19" w:history="1">
        <w:r w:rsidRPr="004971F7">
          <w:rPr>
            <w:rFonts w:ascii="Times New Roman" w:hAnsi="Times New Roman" w:cs="Times New Roman"/>
            <w:sz w:val="28"/>
            <w:szCs w:val="28"/>
          </w:rPr>
          <w:t>федеральный проект</w:t>
        </w:r>
      </w:hyperlink>
      <w:r w:rsidRPr="00A85BFF">
        <w:rPr>
          <w:rFonts w:ascii="Times New Roman" w:hAnsi="Times New Roman" w:cs="Times New Roman"/>
          <w:sz w:val="28"/>
          <w:szCs w:val="28"/>
        </w:rPr>
        <w:t xml:space="preserve"> "Чистая вода</w:t>
      </w:r>
      <w:r>
        <w:rPr>
          <w:rFonts w:ascii="Times New Roman" w:hAnsi="Times New Roman" w:cs="Times New Roman"/>
          <w:sz w:val="28"/>
          <w:szCs w:val="28"/>
        </w:rPr>
        <w:t xml:space="preserve"> (Брянская область)</w:t>
      </w:r>
      <w:r w:rsidRPr="00A85BFF">
        <w:rPr>
          <w:rFonts w:ascii="Times New Roman" w:hAnsi="Times New Roman" w:cs="Times New Roman"/>
          <w:sz w:val="28"/>
          <w:szCs w:val="28"/>
        </w:rPr>
        <w:t xml:space="preserve">", направленный на повышение качества питьевой воды в </w:t>
      </w:r>
      <w:r w:rsidRPr="00A85BFF">
        <w:rPr>
          <w:rFonts w:ascii="Times New Roman" w:hAnsi="Times New Roman" w:cs="Times New Roman"/>
          <w:sz w:val="28"/>
          <w:szCs w:val="28"/>
        </w:rPr>
        <w:lastRenderedPageBreak/>
        <w:t>субъектах Российской Федерации.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Для практического выполнения предусмотренных федеральным проектом мероприятий утвержден паспорт регионального проекта "Чистая вода</w:t>
      </w:r>
      <w:r>
        <w:rPr>
          <w:rFonts w:ascii="Times New Roman" w:hAnsi="Times New Roman" w:cs="Times New Roman"/>
          <w:sz w:val="28"/>
          <w:szCs w:val="28"/>
        </w:rPr>
        <w:t xml:space="preserve"> (Брянская область)</w:t>
      </w:r>
      <w:r w:rsidRPr="00A85BFF">
        <w:rPr>
          <w:rFonts w:ascii="Times New Roman" w:hAnsi="Times New Roman" w:cs="Times New Roman"/>
          <w:sz w:val="28"/>
          <w:szCs w:val="28"/>
        </w:rPr>
        <w:t>", срок реализации которого с 2019 по 2024 годы. Реализация регионального проекта "Чистая вода</w:t>
      </w:r>
      <w:r>
        <w:rPr>
          <w:rFonts w:ascii="Times New Roman" w:hAnsi="Times New Roman" w:cs="Times New Roman"/>
          <w:sz w:val="28"/>
          <w:szCs w:val="28"/>
        </w:rPr>
        <w:t xml:space="preserve"> (Брянская область)</w:t>
      </w:r>
      <w:r w:rsidRPr="00A85BFF">
        <w:rPr>
          <w:rFonts w:ascii="Times New Roman" w:hAnsi="Times New Roman" w:cs="Times New Roman"/>
          <w:sz w:val="28"/>
          <w:szCs w:val="28"/>
        </w:rPr>
        <w:t>" будет осуществляться в рамках настоящей государственной программы.</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Паспортом регионального проекта "Чистая вода</w:t>
      </w:r>
      <w:r>
        <w:rPr>
          <w:rFonts w:ascii="Times New Roman" w:hAnsi="Times New Roman" w:cs="Times New Roman"/>
          <w:sz w:val="28"/>
          <w:szCs w:val="28"/>
        </w:rPr>
        <w:t xml:space="preserve"> (Брянская область)</w:t>
      </w:r>
      <w:r w:rsidRPr="00A85BFF">
        <w:rPr>
          <w:rFonts w:ascii="Times New Roman" w:hAnsi="Times New Roman" w:cs="Times New Roman"/>
          <w:sz w:val="28"/>
          <w:szCs w:val="28"/>
        </w:rPr>
        <w:t>" определены цели, задачи, финансовое обеспечение, показатели и основные мероприятия его реализации.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соответствии с паспортом регионального проекта всеми муниципальными образованиями проведена инвентаризация объектов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Определены населенные пункты, на территории которых питьевая вода не соответствует требованиям качества.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На сегодняшний день доля населения, обеспеченного качественной питьевой водой из систем централизованного водоснабжения, составляет 82,58%; доля городского населения Брянской области, обеспеченного качественной питьевой водой из систем центрального водоснабжения, - 97,8%. Объем финансирования на весь период реализации регионального проекта запланирован в сумме 1 </w:t>
      </w:r>
      <w:r>
        <w:rPr>
          <w:rFonts w:ascii="Times New Roman" w:hAnsi="Times New Roman" w:cs="Times New Roman"/>
          <w:sz w:val="28"/>
          <w:szCs w:val="28"/>
        </w:rPr>
        <w:t>760 652,20</w:t>
      </w:r>
      <w:r w:rsidRPr="00A85BFF">
        <w:rPr>
          <w:rFonts w:ascii="Times New Roman" w:hAnsi="Times New Roman" w:cs="Times New Roman"/>
          <w:sz w:val="28"/>
          <w:szCs w:val="28"/>
        </w:rPr>
        <w:t xml:space="preserve"> тыс. рублей, в том числе по годам: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2019 г. </w:t>
      </w:r>
      <w:r>
        <w:rPr>
          <w:rFonts w:ascii="Times New Roman" w:hAnsi="Times New Roman" w:cs="Times New Roman"/>
          <w:sz w:val="28"/>
          <w:szCs w:val="28"/>
        </w:rPr>
        <w:t>–</w:t>
      </w:r>
      <w:r w:rsidRPr="00A85BFF">
        <w:rPr>
          <w:rFonts w:ascii="Times New Roman" w:hAnsi="Times New Roman" w:cs="Times New Roman"/>
          <w:sz w:val="28"/>
          <w:szCs w:val="28"/>
        </w:rPr>
        <w:t xml:space="preserve"> </w:t>
      </w:r>
      <w:r>
        <w:rPr>
          <w:rFonts w:ascii="Times New Roman" w:hAnsi="Times New Roman" w:cs="Times New Roman"/>
          <w:sz w:val="28"/>
          <w:szCs w:val="28"/>
        </w:rPr>
        <w:t>46 2</w:t>
      </w:r>
      <w:r w:rsidRPr="00A85BFF">
        <w:rPr>
          <w:rFonts w:ascii="Times New Roman" w:hAnsi="Times New Roman" w:cs="Times New Roman"/>
          <w:sz w:val="28"/>
          <w:szCs w:val="28"/>
        </w:rPr>
        <w:t>4</w:t>
      </w:r>
      <w:r>
        <w:rPr>
          <w:rFonts w:ascii="Times New Roman" w:hAnsi="Times New Roman" w:cs="Times New Roman"/>
          <w:sz w:val="28"/>
          <w:szCs w:val="28"/>
        </w:rPr>
        <w:t>6,22</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2020 г. – </w:t>
      </w:r>
      <w:r>
        <w:rPr>
          <w:rFonts w:ascii="Times New Roman" w:hAnsi="Times New Roman" w:cs="Times New Roman"/>
          <w:sz w:val="28"/>
          <w:szCs w:val="28"/>
        </w:rPr>
        <w:t>21 730,03</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2021 г. - 362 960,41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2022 г. – 490 917,3</w:t>
      </w:r>
      <w:r>
        <w:rPr>
          <w:rFonts w:ascii="Times New Roman" w:hAnsi="Times New Roman" w:cs="Times New Roman"/>
          <w:sz w:val="28"/>
          <w:szCs w:val="28"/>
        </w:rPr>
        <w:t>6</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2023 г. – 502 203,5</w:t>
      </w:r>
      <w:r>
        <w:rPr>
          <w:rFonts w:ascii="Times New Roman" w:hAnsi="Times New Roman" w:cs="Times New Roman"/>
          <w:sz w:val="28"/>
          <w:szCs w:val="28"/>
        </w:rPr>
        <w:t>5</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2024 г. - 336 594,63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из них:</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областной бюджет – </w:t>
      </w:r>
      <w:r>
        <w:rPr>
          <w:rFonts w:ascii="Times New Roman" w:hAnsi="Times New Roman" w:cs="Times New Roman"/>
          <w:sz w:val="28"/>
          <w:szCs w:val="28"/>
        </w:rPr>
        <w:t>17 430</w:t>
      </w:r>
      <w:r w:rsidRPr="00A85BFF">
        <w:rPr>
          <w:rFonts w:ascii="Times New Roman" w:hAnsi="Times New Roman" w:cs="Times New Roman"/>
          <w:sz w:val="28"/>
          <w:szCs w:val="28"/>
        </w:rPr>
        <w:t>,</w:t>
      </w:r>
      <w:r>
        <w:rPr>
          <w:rFonts w:ascii="Times New Roman" w:hAnsi="Times New Roman" w:cs="Times New Roman"/>
          <w:sz w:val="28"/>
          <w:szCs w:val="28"/>
        </w:rPr>
        <w:t>4</w:t>
      </w:r>
      <w:r w:rsidRPr="00A85BFF">
        <w:rPr>
          <w:rFonts w:ascii="Times New Roman" w:hAnsi="Times New Roman" w:cs="Times New Roman"/>
          <w:sz w:val="28"/>
          <w:szCs w:val="28"/>
        </w:rPr>
        <w:t>9 тыс. рублей, в том числе по годам: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2019 г. </w:t>
      </w:r>
      <w:r>
        <w:rPr>
          <w:rFonts w:ascii="Times New Roman" w:hAnsi="Times New Roman" w:cs="Times New Roman"/>
          <w:sz w:val="28"/>
          <w:szCs w:val="28"/>
        </w:rPr>
        <w:t>–</w:t>
      </w:r>
      <w:r w:rsidRPr="00A85BFF">
        <w:rPr>
          <w:rFonts w:ascii="Times New Roman" w:hAnsi="Times New Roman" w:cs="Times New Roman"/>
          <w:sz w:val="28"/>
          <w:szCs w:val="28"/>
        </w:rPr>
        <w:t xml:space="preserve"> </w:t>
      </w:r>
      <w:r>
        <w:rPr>
          <w:rFonts w:ascii="Times New Roman" w:hAnsi="Times New Roman" w:cs="Times New Roman"/>
          <w:sz w:val="28"/>
          <w:szCs w:val="28"/>
        </w:rPr>
        <w:t>457,87</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2020 г. – </w:t>
      </w:r>
      <w:r>
        <w:rPr>
          <w:rFonts w:ascii="Times New Roman" w:hAnsi="Times New Roman" w:cs="Times New Roman"/>
          <w:sz w:val="28"/>
          <w:szCs w:val="28"/>
        </w:rPr>
        <w:t>215,13</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2021 г. - 3 593,3</w:t>
      </w:r>
      <w:r>
        <w:rPr>
          <w:rFonts w:ascii="Times New Roman" w:hAnsi="Times New Roman" w:cs="Times New Roman"/>
          <w:sz w:val="28"/>
          <w:szCs w:val="28"/>
        </w:rPr>
        <w:t>1</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2022 г. – 4 860,08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2023 г. – 4 971,8</w:t>
      </w:r>
      <w:r>
        <w:rPr>
          <w:rFonts w:ascii="Times New Roman" w:hAnsi="Times New Roman" w:cs="Times New Roman"/>
          <w:sz w:val="28"/>
          <w:szCs w:val="28"/>
        </w:rPr>
        <w:t>2</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2024 г. - 3 332,2</w:t>
      </w:r>
      <w:r>
        <w:rPr>
          <w:rFonts w:ascii="Times New Roman" w:hAnsi="Times New Roman" w:cs="Times New Roman"/>
          <w:sz w:val="28"/>
          <w:szCs w:val="28"/>
        </w:rPr>
        <w:t>9</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федеральный бюджет – </w:t>
      </w:r>
      <w:r>
        <w:rPr>
          <w:rFonts w:ascii="Times New Roman" w:hAnsi="Times New Roman" w:cs="Times New Roman"/>
          <w:sz w:val="28"/>
          <w:szCs w:val="28"/>
        </w:rPr>
        <w:t>1 725 615,00</w:t>
      </w:r>
      <w:r w:rsidRPr="00A85BFF">
        <w:rPr>
          <w:rFonts w:ascii="Times New Roman" w:hAnsi="Times New Roman" w:cs="Times New Roman"/>
          <w:sz w:val="28"/>
          <w:szCs w:val="28"/>
        </w:rPr>
        <w:t> тыс. рублей, в том числе по годам: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2019 г. </w:t>
      </w:r>
      <w:r>
        <w:rPr>
          <w:rFonts w:ascii="Times New Roman" w:hAnsi="Times New Roman" w:cs="Times New Roman"/>
          <w:sz w:val="28"/>
          <w:szCs w:val="28"/>
        </w:rPr>
        <w:t>–</w:t>
      </w:r>
      <w:r w:rsidRPr="00A85BFF">
        <w:rPr>
          <w:rFonts w:ascii="Times New Roman" w:hAnsi="Times New Roman" w:cs="Times New Roman"/>
          <w:sz w:val="28"/>
          <w:szCs w:val="28"/>
        </w:rPr>
        <w:t xml:space="preserve"> </w:t>
      </w:r>
      <w:r>
        <w:rPr>
          <w:rFonts w:ascii="Times New Roman" w:hAnsi="Times New Roman" w:cs="Times New Roman"/>
          <w:sz w:val="28"/>
          <w:szCs w:val="28"/>
        </w:rPr>
        <w:t>45 325,70</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2020 г. – </w:t>
      </w:r>
      <w:r>
        <w:rPr>
          <w:rFonts w:ascii="Times New Roman" w:hAnsi="Times New Roman" w:cs="Times New Roman"/>
          <w:sz w:val="28"/>
          <w:szCs w:val="28"/>
        </w:rPr>
        <w:t>21 297,60</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2021 г. - 355 737,50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2022 г. – 481 148,10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2023 г. – 492 209,70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2024 г. - 329 896,40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местный бюджет – </w:t>
      </w:r>
      <w:r>
        <w:rPr>
          <w:rFonts w:ascii="Times New Roman" w:hAnsi="Times New Roman" w:cs="Times New Roman"/>
          <w:sz w:val="28"/>
          <w:szCs w:val="28"/>
        </w:rPr>
        <w:t>17 606,71</w:t>
      </w:r>
      <w:r w:rsidRPr="00A85BFF">
        <w:rPr>
          <w:rFonts w:ascii="Times New Roman" w:hAnsi="Times New Roman" w:cs="Times New Roman"/>
          <w:sz w:val="28"/>
          <w:szCs w:val="28"/>
        </w:rPr>
        <w:t> тыс. рублей, в том числе по годам: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2019 г. </w:t>
      </w:r>
      <w:r>
        <w:rPr>
          <w:rFonts w:ascii="Times New Roman" w:hAnsi="Times New Roman" w:cs="Times New Roman"/>
          <w:sz w:val="28"/>
          <w:szCs w:val="28"/>
        </w:rPr>
        <w:t>–</w:t>
      </w:r>
      <w:r w:rsidRPr="00A85BFF">
        <w:rPr>
          <w:rFonts w:ascii="Times New Roman" w:hAnsi="Times New Roman" w:cs="Times New Roman"/>
          <w:sz w:val="28"/>
          <w:szCs w:val="28"/>
        </w:rPr>
        <w:t xml:space="preserve"> </w:t>
      </w:r>
      <w:r>
        <w:rPr>
          <w:rFonts w:ascii="Times New Roman" w:hAnsi="Times New Roman" w:cs="Times New Roman"/>
          <w:sz w:val="28"/>
          <w:szCs w:val="28"/>
        </w:rPr>
        <w:t>462,65</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2020 г. – </w:t>
      </w:r>
      <w:r>
        <w:rPr>
          <w:rFonts w:ascii="Times New Roman" w:hAnsi="Times New Roman" w:cs="Times New Roman"/>
          <w:sz w:val="28"/>
          <w:szCs w:val="28"/>
        </w:rPr>
        <w:t>217,30</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lastRenderedPageBreak/>
        <w:t>2021 г. - 3 629,60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2022 г. – 4 909,17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2023 г. – 5 022, 0</w:t>
      </w:r>
      <w:r>
        <w:rPr>
          <w:rFonts w:ascii="Times New Roman" w:hAnsi="Times New Roman" w:cs="Times New Roman"/>
          <w:sz w:val="28"/>
          <w:szCs w:val="28"/>
        </w:rPr>
        <w:t>4</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2024 г. - 3 365,9</w:t>
      </w:r>
      <w:r>
        <w:rPr>
          <w:rFonts w:ascii="Times New Roman" w:hAnsi="Times New Roman" w:cs="Times New Roman"/>
          <w:sz w:val="28"/>
          <w:szCs w:val="28"/>
        </w:rPr>
        <w:t>5</w:t>
      </w:r>
      <w:r w:rsidRPr="00A85BFF">
        <w:rPr>
          <w:rFonts w:ascii="Times New Roman" w:hAnsi="Times New Roman" w:cs="Times New Roman"/>
          <w:sz w:val="28"/>
          <w:szCs w:val="28"/>
        </w:rPr>
        <w:t> тыс.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Для выполнения предусмотренных федеральным проектом мероприятий разработан паспорт регионального проекта "Чистая вода</w:t>
      </w:r>
      <w:r>
        <w:rPr>
          <w:rFonts w:ascii="Times New Roman" w:hAnsi="Times New Roman" w:cs="Times New Roman"/>
          <w:sz w:val="28"/>
          <w:szCs w:val="28"/>
        </w:rPr>
        <w:t xml:space="preserve"> (Брянская область)</w:t>
      </w:r>
      <w:r w:rsidRPr="00A85BFF">
        <w:rPr>
          <w:rFonts w:ascii="Times New Roman" w:hAnsi="Times New Roman" w:cs="Times New Roman"/>
          <w:sz w:val="28"/>
          <w:szCs w:val="28"/>
        </w:rPr>
        <w:t>", рассчитанный с 2019 по 2024 годы.</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 реализации программы будут применяться технологии из Справочника перспективных технологий водоподготовки и очистки воды с использованием технологий, разработанных организациями оборонно-промышленного комплекса, и учетом оценки риска здоровью населения.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Паспортом определены цели, задачи, финансовое обеспечение, показатели и основные мероприятия его реализации.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соответствии с паспортом регионального проекта всеми муниципальными образованиями проведена инвентаризация объектов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 итогам инвентаризации установлено, что в системе жилищно-коммунального хозяйства Брянской области функционирует 1859 объектов водозабора, 5 объектов водоподготовки, 38 водонасосных объектов и 7450,75 километра водопроводных сетей.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Объем исходной воды из всех источников составил 77629,64 тыс. куб. метров, в том числе из подземных источников - 53520,86 тыс. куб. метров, из поверхностных - 24108,780 тыс. куб. метров. Пропуск объема воды через очистные сооружения составил 30182,26 тыс. куб. метров, подано в централизованную систему воды - 73300,05 тыс. куб. метров, из них подано в централизованную систему водоснабжения в сети питьевого водоснабжения - 72649,01 тыс. куб. метров, подано в централизованную систему водоснабжения в сети технического водоснабжения - 651,04 тыс. куб. метров.</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Определены населенные пункты, на территории которых питьевая вода не соответствует требованиям качества.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Средний уровень населения, обеспеченного качественной питьевой водой из систем централизованного водоснабжения, составляет 82,45 процента, в том числе в разрезе муниципальных образований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6248"/>
        <w:gridCol w:w="2268"/>
      </w:tblGrid>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Брасовский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75,00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Брянский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87,01</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Выгоничский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60,47</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4.</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Гордеевский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83,53</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5.</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Брянск</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96,08</w:t>
            </w:r>
          </w:p>
        </w:tc>
      </w:tr>
      <w:tr w:rsidR="00E15D8C" w:rsidRPr="00A85BFF" w:rsidTr="008E50F2">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w:t>
            </w:r>
          </w:p>
        </w:tc>
        <w:tc>
          <w:tcPr>
            <w:tcW w:w="6248" w:type="dxa"/>
            <w:tcBorders>
              <w:top w:val="single" w:sz="4" w:space="0" w:color="auto"/>
              <w:left w:val="single" w:sz="4" w:space="0" w:color="auto"/>
              <w:bottom w:val="single" w:sz="4" w:space="0" w:color="auto"/>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Клинцы</w:t>
            </w:r>
          </w:p>
        </w:tc>
        <w:tc>
          <w:tcPr>
            <w:tcW w:w="2268" w:type="dxa"/>
            <w:tcBorders>
              <w:top w:val="single" w:sz="4" w:space="0" w:color="auto"/>
              <w:left w:val="single" w:sz="4" w:space="0" w:color="auto"/>
              <w:bottom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96,54</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w:t>
            </w:r>
          </w:p>
        </w:tc>
        <w:tc>
          <w:tcPr>
            <w:tcW w:w="6248" w:type="dxa"/>
            <w:tcBorders>
              <w:top w:val="single" w:sz="4" w:space="0" w:color="auto"/>
              <w:left w:val="single" w:sz="4" w:space="0" w:color="auto"/>
              <w:bottom w:val="single" w:sz="4" w:space="0" w:color="auto"/>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Новозыбков</w:t>
            </w:r>
          </w:p>
        </w:tc>
        <w:tc>
          <w:tcPr>
            <w:tcW w:w="2268" w:type="dxa"/>
            <w:tcBorders>
              <w:top w:val="single" w:sz="4" w:space="0" w:color="auto"/>
              <w:left w:val="single" w:sz="4" w:space="0" w:color="auto"/>
              <w:bottom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100,00</w:t>
            </w:r>
          </w:p>
        </w:tc>
      </w:tr>
      <w:tr w:rsidR="00E15D8C" w:rsidRPr="00A85BFF" w:rsidTr="008E50F2">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w:t>
            </w:r>
          </w:p>
        </w:tc>
        <w:tc>
          <w:tcPr>
            <w:tcW w:w="6248" w:type="dxa"/>
            <w:tcBorders>
              <w:top w:val="single" w:sz="4" w:space="0" w:color="auto"/>
              <w:left w:val="single" w:sz="4" w:space="0" w:color="auto"/>
              <w:bottom w:val="single" w:sz="4" w:space="0" w:color="auto"/>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Сельцо</w:t>
            </w:r>
          </w:p>
        </w:tc>
        <w:tc>
          <w:tcPr>
            <w:tcW w:w="2268" w:type="dxa"/>
            <w:tcBorders>
              <w:top w:val="single" w:sz="4" w:space="0" w:color="auto"/>
              <w:left w:val="single" w:sz="4" w:space="0" w:color="auto"/>
              <w:bottom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60,37</w:t>
            </w:r>
          </w:p>
        </w:tc>
      </w:tr>
      <w:tr w:rsidR="00E15D8C" w:rsidRPr="00A85BFF" w:rsidTr="008E50F2">
        <w:tc>
          <w:tcPr>
            <w:tcW w:w="840" w:type="dxa"/>
            <w:tcBorders>
              <w:top w:val="single" w:sz="4" w:space="0" w:color="auto"/>
              <w:left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w:t>
            </w:r>
          </w:p>
        </w:tc>
        <w:tc>
          <w:tcPr>
            <w:tcW w:w="6248" w:type="dxa"/>
            <w:tcBorders>
              <w:top w:val="single" w:sz="4" w:space="0" w:color="auto"/>
              <w:left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Стародуб</w:t>
            </w:r>
          </w:p>
        </w:tc>
        <w:tc>
          <w:tcPr>
            <w:tcW w:w="2268" w:type="dxa"/>
            <w:tcBorders>
              <w:top w:val="single" w:sz="4" w:space="0" w:color="auto"/>
              <w:left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87,44</w:t>
            </w:r>
          </w:p>
        </w:tc>
      </w:tr>
      <w:tr w:rsidR="00E15D8C" w:rsidRPr="00A85BFF" w:rsidTr="008E50F2">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lastRenderedPageBreak/>
              <w:t>10.</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Фокино</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95,36</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11.</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Дубровский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71,45</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12.</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Дятьковский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66,56</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13.</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Жирятинский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79,63</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14.</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Жуковский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56,98</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15.</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Злынковский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44,41</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16.</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Карачевский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87,44</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17.</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Клетнянский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41,74</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18.</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Климовский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60,90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19.</w:t>
            </w:r>
          </w:p>
        </w:tc>
        <w:tc>
          <w:tcPr>
            <w:tcW w:w="6248" w:type="dxa"/>
            <w:tcBorders>
              <w:top w:val="single" w:sz="4" w:space="0" w:color="auto"/>
              <w:left w:val="single" w:sz="4" w:space="0" w:color="auto"/>
              <w:bottom w:val="single" w:sz="4" w:space="0" w:color="auto"/>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Клинцовский муниципальный район</w:t>
            </w:r>
          </w:p>
        </w:tc>
        <w:tc>
          <w:tcPr>
            <w:tcW w:w="2268" w:type="dxa"/>
            <w:tcBorders>
              <w:top w:val="single" w:sz="4" w:space="0" w:color="auto"/>
              <w:left w:val="single" w:sz="4" w:space="0" w:color="auto"/>
              <w:bottom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64,56</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20.</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Комаричский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15,46</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21.</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Красногорский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66,41</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22.</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Мглинский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88,06</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23.</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Навлинский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78,23</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24.</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Новозыбковский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40,63</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25.</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Погарский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93,70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26.</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Почепский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60,31</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27.</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Рогнединский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60,78</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28.</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Севский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78,32</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29.</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Стародубский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81,40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30.</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Суземский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91,64</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31.</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Суражский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70,65</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32.</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Трубчевский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77,91</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33.</w:t>
            </w:r>
          </w:p>
        </w:tc>
        <w:tc>
          <w:tcPr>
            <w:tcW w:w="6248" w:type="dxa"/>
            <w:tcBorders>
              <w:top w:val="single" w:sz="4" w:space="0" w:color="auto"/>
              <w:left w:val="single" w:sz="4" w:space="0" w:color="auto"/>
              <w:bottom w:val="single" w:sz="4" w:space="0" w:color="auto"/>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Унечский муниципальный район</w:t>
            </w:r>
          </w:p>
        </w:tc>
        <w:tc>
          <w:tcPr>
            <w:tcW w:w="2268" w:type="dxa"/>
            <w:tcBorders>
              <w:top w:val="single" w:sz="4" w:space="0" w:color="auto"/>
              <w:left w:val="single" w:sz="4" w:space="0" w:color="auto"/>
              <w:bottom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76,51</w:t>
            </w:r>
          </w:p>
        </w:tc>
      </w:tr>
    </w:tbl>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Средний уровень городского населения, обеспеченного качественной питьевой водой из систем централизованного водоснабжения, составляет 89,78 процента, в том числе в разрезе муниципальных образований в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6248"/>
        <w:gridCol w:w="2268"/>
      </w:tblGrid>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Брасовский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98,20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Брянский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0,00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Выгоничский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90,47</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4</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Гордеевский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0,00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5</w:t>
            </w:r>
          </w:p>
        </w:tc>
        <w:tc>
          <w:tcPr>
            <w:tcW w:w="6248" w:type="dxa"/>
            <w:tcBorders>
              <w:top w:val="single" w:sz="4" w:space="0" w:color="auto"/>
              <w:left w:val="single" w:sz="4" w:space="0" w:color="auto"/>
              <w:bottom w:val="single" w:sz="4" w:space="0" w:color="auto"/>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Брянск</w:t>
            </w:r>
          </w:p>
        </w:tc>
        <w:tc>
          <w:tcPr>
            <w:tcW w:w="2268" w:type="dxa"/>
            <w:tcBorders>
              <w:top w:val="single" w:sz="4" w:space="0" w:color="auto"/>
              <w:left w:val="single" w:sz="4" w:space="0" w:color="auto"/>
              <w:bottom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96,08</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Клинцы</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96,54</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Новозыбков</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100,00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Сельцо</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60,37</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Стародуб</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87,44</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10</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город Фокино</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95,36</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11</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Дубровский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74,47</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12</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Дятьковский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67,95</w:t>
            </w:r>
          </w:p>
        </w:tc>
      </w:tr>
      <w:tr w:rsidR="00E15D8C" w:rsidRPr="00A85BFF" w:rsidTr="008E50F2">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13</w:t>
            </w:r>
          </w:p>
        </w:tc>
        <w:tc>
          <w:tcPr>
            <w:tcW w:w="6248" w:type="dxa"/>
            <w:tcBorders>
              <w:top w:val="single" w:sz="4" w:space="0" w:color="auto"/>
              <w:left w:val="single" w:sz="4" w:space="0" w:color="auto"/>
              <w:bottom w:val="single" w:sz="4" w:space="0" w:color="auto"/>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Жирятинский муниципальный район</w:t>
            </w:r>
          </w:p>
        </w:tc>
        <w:tc>
          <w:tcPr>
            <w:tcW w:w="2268" w:type="dxa"/>
            <w:tcBorders>
              <w:top w:val="single" w:sz="4" w:space="0" w:color="auto"/>
              <w:left w:val="single" w:sz="4" w:space="0" w:color="auto"/>
              <w:bottom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0,00</w:t>
            </w:r>
          </w:p>
        </w:tc>
      </w:tr>
      <w:tr w:rsidR="00E15D8C" w:rsidRPr="00A85BFF" w:rsidTr="008E50F2">
        <w:tc>
          <w:tcPr>
            <w:tcW w:w="840" w:type="dxa"/>
            <w:tcBorders>
              <w:top w:val="single" w:sz="4" w:space="0" w:color="auto"/>
              <w:left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14</w:t>
            </w:r>
          </w:p>
        </w:tc>
        <w:tc>
          <w:tcPr>
            <w:tcW w:w="6248" w:type="dxa"/>
            <w:tcBorders>
              <w:top w:val="single" w:sz="4" w:space="0" w:color="auto"/>
              <w:left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Жуковский муниципальный район</w:t>
            </w:r>
          </w:p>
        </w:tc>
        <w:tc>
          <w:tcPr>
            <w:tcW w:w="2268" w:type="dxa"/>
            <w:tcBorders>
              <w:top w:val="single" w:sz="4" w:space="0" w:color="auto"/>
              <w:left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100,00</w:t>
            </w:r>
          </w:p>
        </w:tc>
      </w:tr>
      <w:tr w:rsidR="00E15D8C" w:rsidRPr="00A85BFF" w:rsidTr="008E50F2">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lastRenderedPageBreak/>
              <w:t>15</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Злынковский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62,72</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16</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Карачевский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97,00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17</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Клетнянский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38,40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18</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Климовский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73,49</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19</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Клинцовский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0,00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20</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Комаричский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0,00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21</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Красногорский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88,27</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22</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Мглинский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95,01</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23</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Навлинский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89,32</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24</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Новозыбковский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0,00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25</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Погарский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87,77</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26</w:t>
            </w:r>
          </w:p>
        </w:tc>
        <w:tc>
          <w:tcPr>
            <w:tcW w:w="6248" w:type="dxa"/>
            <w:tcBorders>
              <w:top w:val="single" w:sz="4" w:space="0" w:color="auto"/>
              <w:left w:val="single" w:sz="4" w:space="0" w:color="auto"/>
              <w:bottom w:val="single" w:sz="4" w:space="0" w:color="auto"/>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Почепский муниципальный район</w:t>
            </w:r>
          </w:p>
        </w:tc>
        <w:tc>
          <w:tcPr>
            <w:tcW w:w="2268" w:type="dxa"/>
            <w:tcBorders>
              <w:top w:val="single" w:sz="4" w:space="0" w:color="auto"/>
              <w:left w:val="single" w:sz="4" w:space="0" w:color="auto"/>
              <w:bottom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79,24</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27</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Рогнединский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73,57</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28</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Севский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82,11</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29</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Стародубский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0,00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30</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Суземский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93,28</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31</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Суражский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88,18</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32</w:t>
            </w:r>
          </w:p>
        </w:tc>
        <w:tc>
          <w:tcPr>
            <w:tcW w:w="6248" w:type="dxa"/>
            <w:tcBorders>
              <w:top w:val="single" w:sz="4" w:space="0" w:color="auto"/>
              <w:left w:val="single" w:sz="4" w:space="0" w:color="auto"/>
              <w:bottom w:val="nil"/>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Трубчевский муниципальный район</w:t>
            </w:r>
          </w:p>
        </w:tc>
        <w:tc>
          <w:tcPr>
            <w:tcW w:w="2268" w:type="dxa"/>
            <w:tcBorders>
              <w:top w:val="single" w:sz="4" w:space="0" w:color="auto"/>
              <w:left w:val="single" w:sz="4" w:space="0" w:color="auto"/>
              <w:bottom w:val="nil"/>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99,00</w:t>
            </w:r>
          </w:p>
        </w:tc>
      </w:tr>
      <w:tr w:rsidR="00E15D8C" w:rsidRPr="00A85BFF" w:rsidTr="00E15D8C">
        <w:tc>
          <w:tcPr>
            <w:tcW w:w="840" w:type="dxa"/>
            <w:tcBorders>
              <w:top w:val="single" w:sz="4" w:space="0" w:color="auto"/>
              <w:bottom w:val="single" w:sz="4" w:space="0" w:color="auto"/>
              <w:right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33</w:t>
            </w:r>
          </w:p>
        </w:tc>
        <w:tc>
          <w:tcPr>
            <w:tcW w:w="6248" w:type="dxa"/>
            <w:tcBorders>
              <w:top w:val="single" w:sz="4" w:space="0" w:color="auto"/>
              <w:left w:val="single" w:sz="4" w:space="0" w:color="auto"/>
              <w:bottom w:val="single" w:sz="4" w:space="0" w:color="auto"/>
              <w:right w:val="nil"/>
            </w:tcBorders>
          </w:tcPr>
          <w:p w:rsidR="00E15D8C" w:rsidRPr="00A85BFF" w:rsidRDefault="00E15D8C" w:rsidP="008E50F2">
            <w:pPr>
              <w:widowControl w:val="0"/>
              <w:autoSpaceDE w:val="0"/>
              <w:autoSpaceDN w:val="0"/>
              <w:adjustRightInd w:val="0"/>
              <w:spacing w:after="0" w:line="240" w:lineRule="auto"/>
              <w:rPr>
                <w:rFonts w:ascii="Times New Roman" w:hAnsi="Times New Roman" w:cs="Times New Roman"/>
                <w:sz w:val="28"/>
                <w:szCs w:val="28"/>
              </w:rPr>
            </w:pPr>
            <w:r w:rsidRPr="00A85BFF">
              <w:rPr>
                <w:rFonts w:ascii="Times New Roman" w:hAnsi="Times New Roman" w:cs="Times New Roman"/>
                <w:sz w:val="28"/>
                <w:szCs w:val="28"/>
              </w:rPr>
              <w:t>Унечский муниципальный район</w:t>
            </w:r>
          </w:p>
        </w:tc>
        <w:tc>
          <w:tcPr>
            <w:tcW w:w="2268" w:type="dxa"/>
            <w:tcBorders>
              <w:top w:val="single" w:sz="4" w:space="0" w:color="auto"/>
              <w:left w:val="single" w:sz="4" w:space="0" w:color="auto"/>
              <w:bottom w:val="single" w:sz="4" w:space="0" w:color="auto"/>
            </w:tcBorders>
          </w:tcPr>
          <w:p w:rsidR="00E15D8C" w:rsidRPr="00A85BFF" w:rsidRDefault="00E15D8C" w:rsidP="008E50F2">
            <w:pPr>
              <w:widowControl w:val="0"/>
              <w:autoSpaceDE w:val="0"/>
              <w:autoSpaceDN w:val="0"/>
              <w:adjustRightInd w:val="0"/>
              <w:spacing w:after="0" w:line="240" w:lineRule="auto"/>
              <w:jc w:val="center"/>
              <w:rPr>
                <w:rFonts w:ascii="Times New Roman" w:hAnsi="Times New Roman" w:cs="Times New Roman"/>
                <w:sz w:val="28"/>
                <w:szCs w:val="28"/>
              </w:rPr>
            </w:pPr>
            <w:r w:rsidRPr="00A85BFF">
              <w:rPr>
                <w:rFonts w:ascii="Times New Roman" w:hAnsi="Times New Roman" w:cs="Times New Roman"/>
                <w:sz w:val="28"/>
                <w:szCs w:val="28"/>
              </w:rPr>
              <w:t>71,50</w:t>
            </w:r>
          </w:p>
        </w:tc>
      </w:tr>
    </w:tbl>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связи с высоким уровнем износа сетей вода, поднятая вода подвергается загрязнению и до потребителя доходит, не соответствуя требованиям </w:t>
      </w:r>
      <w:hyperlink r:id="rId20" w:history="1">
        <w:r w:rsidRPr="00E15D8C">
          <w:rPr>
            <w:rFonts w:ascii="Times New Roman" w:hAnsi="Times New Roman" w:cs="Times New Roman"/>
            <w:sz w:val="28"/>
            <w:szCs w:val="28"/>
          </w:rPr>
          <w:t>ГОСТа Р 51232-98</w:t>
        </w:r>
      </w:hyperlink>
      <w:r w:rsidRPr="00E15D8C">
        <w:rPr>
          <w:rFonts w:ascii="Times New Roman" w:hAnsi="Times New Roman" w:cs="Times New Roman"/>
          <w:sz w:val="28"/>
          <w:szCs w:val="28"/>
        </w:rPr>
        <w:t xml:space="preserve"> </w:t>
      </w:r>
      <w:r w:rsidRPr="00A85BFF">
        <w:rPr>
          <w:rFonts w:ascii="Times New Roman" w:hAnsi="Times New Roman" w:cs="Times New Roman"/>
          <w:sz w:val="28"/>
          <w:szCs w:val="28"/>
        </w:rPr>
        <w:t>"Вода питьевая. Общие требования к организации и методам контроля качества".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качестве приоритетных мер для улучшения водоснабжения можно выделить строительство и реконструкцию, магистральных и разводящих сетей, объединение и укрупнение централизованных систем водоснабжения, в том числе в разрезе муниципальных образований: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Брасовский муниципальный район</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Брасовского района планируется выполнить мероприятия по объектам: "Реконструкция водоснабжения п. Погребы ул. Заводская Брасовского района Брянской области", "Реконструкция системы водоснабжения в с. Дубровка Брасовского района Брянской области", "Строительство водозаборного сооружения в п. Коммуна Брасовского района Брянской области", "Строительство системы водоснабжения в п. Локоть Брасовского района Брянской области", "Реконструкция системы водоснабжения с. Веребск Брасовского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0,153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1848 человек Брасовского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lastRenderedPageBreak/>
        <w:t>Брянский муниципальный район.</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Брянского района планируется выполнить мероприятия по объектам: "Реконструкция системы водоснабжения в д. Антоновка Брянского района Брянской области", "Строительство системы водоснабжения в д. Глаженка Брянского района Брянской области", "Строительство системы водоснабжения в п. Стяжное Брянского района Брянской области", "Реконструкция системы водоснабжения в п. Путёвка Брянского района Брянской области", "Строительство системы водоснабжения в микрорайоне Новый п. Глинищево Брянского района Брянской области", "Реконструкция системы водоснабжения в п. Новосёлки Брянского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0,578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7002 человек Брянского района качественной питьевой водой из систем централизованного водоснабжения, а также за счет строительства новых сетей и объектов водоснабжения и обеспечения 1351 человек качественной питьевой водой из систем централизованного водоснабжения (в настоящее время обеспеченных водой из собственных индивидуальных скважин и шахтных колодцев).</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Выгоничский муниципальный район.</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Выгоничского района планируется выполнить мероприятия по объектам: "Реконструкция водозаборного узла в с. Городец Выгоничского района Брянской области", "Реконструкция водозаборного узла в с. Палужье Выгоничского района Брянской области", "Реконструкция системы водоснабжения в с. Удельные Уты Выгоничского района Брянской области", "Реконструкция системы водоснабжения п. Пильшино Выгоничского района Брянской области", "Строительство системы водоснабжения в п. Хутор-Бор Выгоничского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0,193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2334 человек Выгоничского района качественной питьевой водой из систем централизованного водоснабжения, а также за счет строительства новых сетей в п. Хутор-Бор, так как вода в существующие шахтные колодцы не соответствует требованиям.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Гордеевский муниципальный район.</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рамках реализации регионального проекта "Чистая вода" на территории Гордеевского района планируется выполнить мероприятия по объектам: "Реконструкция сетей водоснабжения в с. Гордеевка Гордеевского района Брянской области", "Реконструкция системы водоснабжения в </w:t>
      </w:r>
      <w:r w:rsidRPr="00A85BFF">
        <w:rPr>
          <w:rFonts w:ascii="Times New Roman" w:hAnsi="Times New Roman" w:cs="Times New Roman"/>
          <w:sz w:val="28"/>
          <w:szCs w:val="28"/>
        </w:rPr>
        <w:lastRenderedPageBreak/>
        <w:t>д. Староновицкая Гордеевского района Брянской области", "Реконструкция системы водоснабжения в с. Творишино Гордеевского района Брянской области", "Реконструкция системы водоснабжения в с. Кузнецы Гордеевского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0,093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1123 человек Гордеевского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Городской округ город Брянск.</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города Брянска планируется выполнить мероприятия по объектам: "Водозаборное сооружение на территории технологического комплекса "Дзержинский" по адресу: г. Брянск, Фокинский район, ул. Дзержинского, д. 11В", "Водозаборное сооружение на территории технологического комплекса "Московский" по адресу: г. Брянск, пр-т Московский, д. 144Б", "Водозаборное сооружение на территории технологического комплекса "Поселковый" по адресу: г. Брянск, Фокинский район, пгт. Белые Берега, ул. Белобережская, о/д 36", "Водозаборное сооружение "Деснинский" по адресу: г. Брянск, Бежицкий район, ул. Камозина, о/д 29", "Водозаборное сооружение на территории технологического комплекса "Северный" по адресу: г. Брянск, Советский район, ул. Некрасова", "Водозаборное сооружение на территории технологического комплекса "Тимоновский" по адресу: Брянская область, Брянский район, с. Супонево, ул. Московская", "Реконструкция Бордовичских водозаборных сооружений в г. Брянске Брянской области (1 этап)", "Водозаборное сооружение на территории технологического комплекса "Городищенский" по адресу: г. Брянск, Бежицкий район, ул. Бежицкая, д. 266А", "Водозаборное сооружение на территории технологического комплекса "Кавказский" по адресу: г. Брянск, Фокинский район, ул. Дзержинского, д. 40Б", "Водозаборное сооружение на территории технологического комплекса "Центральный" по адресу: г. Брянск, Советский район, ул. Грибоедова", "Реконструкция Бордовичских водозаборных сооружений в г. Брянске Брянской области (2 этап)", "Реконструкция Бордовичских водозаборных сооружений в г. Брянске Брянской области (3 этап)".</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1,379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16647 человек города Брянска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Городской округ город Клинцы.</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рамках реализации регионального проекта "Чистая вода" на </w:t>
      </w:r>
      <w:r w:rsidRPr="00A85BFF">
        <w:rPr>
          <w:rFonts w:ascii="Times New Roman" w:hAnsi="Times New Roman" w:cs="Times New Roman"/>
          <w:sz w:val="28"/>
          <w:szCs w:val="28"/>
        </w:rPr>
        <w:lastRenderedPageBreak/>
        <w:t>территории города Клинцы планируется выполнить мероприятия по объектам: "Строительство системы водоснабжения по ул. 2-я Пятилетка с. Ардонь, г. Клинцы, Брянская обл. 1 очередь строительства", "Строительство системы водоснабжения в с. Ардонь г. Клинцы Брянская область (2-я очередь)".</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0,202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2440 человек города Клинцы качественной питьевой водой из систем централизованного водоснабжения, а также за счет строительства новых сетей в с. Ардонь, так как вода в существующих шахтных колодцах не соответствует требованиям.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Сельцовский городской округ.</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города Сельцо планируется выполнить мероприятия по объектам: "Строительство системы водоснабжения по ул. Деснянская, пер. Деснянский, ул. Новостройки в г. Сельцо Брянской области", "Строительство сетей водоснабжения в юго-восточной части города Сельцо Брянской области (1 этап)", "Строительство сетей водоснабжения в юго-восточной части города Сельцо Брянской области (2 этап)", "Строительство сетей водоснабжения в юго-западной части города Сельцо Брянской области", "Строительство системы водоснабжения по ул. Сенная, пер. Сенной, ул. Дачная в г. Сельцо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0,601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7284 человек города Сельцо качественной питьевой водой из систем централизованного водоснабжения (в настоящее время обеспеченных водой из собственных индивидуальных скважин и шахтных колодцев).</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Городской округ город Фокино.</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города Фокино планируется выполнить мероприятия по объекту: "Строительство артезианской скважины по ул. Мира в г. Фокино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0,047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600 человек города Фокино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Дубровский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рамках реализации регионального проекта "Чистая вода" на территории Дубровского муниципального района планируется выполнить </w:t>
      </w:r>
      <w:r w:rsidRPr="00A85BFF">
        <w:rPr>
          <w:rFonts w:ascii="Times New Roman" w:hAnsi="Times New Roman" w:cs="Times New Roman"/>
          <w:sz w:val="28"/>
          <w:szCs w:val="28"/>
        </w:rPr>
        <w:lastRenderedPageBreak/>
        <w:t>мероприятия по объектам: "Строительство водозаборного сооружения в д. Большая Островня Дубровского района Брянской области", "Реконструкция артезианской скважины и водонапорной башни в д. Рековичи Дубровского района Брянской области", "Строительство водозаборного узла в н. п. Дубровка Дубровского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0,229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2771 человек Дубровского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Дятьковский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Дятьковского муниципального района планируется выполнить мероприятия по объектам: "Строительство системы водоснабжения в д. Верхи и д. Радица Дятьковского района Брянской области", "Реконструкция системы водоснабжения в д. Чернятичи Дятьковского района Брянской области", "Реконструкция системы водоснабжения в п. Любохна Дятьковского района Брянской области", "Строительство станции разбавления и обеззараживания артезианской воды в г. Дятьково Дятьковского района Брянской области", "Реконструкция системы водоснабжения в г. Дятьково Дятьковского района Брянской области", "Строительство системы водоснабжения по ул. Фокина, ул. Урицкого, ул. Орловской ул. Кирова в п. Любохна Дятьковского района Брянской области", "Реконструкция системы водоснабжения в д. Слободище Дятько</w:t>
      </w:r>
      <w:r w:rsidR="001D38A0">
        <w:rPr>
          <w:rFonts w:ascii="Times New Roman" w:hAnsi="Times New Roman" w:cs="Times New Roman"/>
          <w:sz w:val="28"/>
          <w:szCs w:val="28"/>
        </w:rPr>
        <w:t>вского района Брянской области", "</w:t>
      </w:r>
      <w:r w:rsidR="001D38A0" w:rsidRPr="001D38A0">
        <w:rPr>
          <w:rFonts w:ascii="Times New Roman" w:hAnsi="Times New Roman" w:cs="Times New Roman"/>
          <w:sz w:val="28"/>
          <w:szCs w:val="28"/>
        </w:rPr>
        <w:t>Реконструкция систем водоснабжения в п. Бытошь-д. Будочки Дятьковского района Брянской области (1 очередь строительства)</w:t>
      </w:r>
      <w:r w:rsidR="001D38A0">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1,431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Прирост целевых показателей достигается за счет обеспечения 17303 человек Дятьковского района качественной питьевой водой из систем централизованного водоснабжения, а также за </w:t>
      </w:r>
      <w:r w:rsidR="001D38A0">
        <w:rPr>
          <w:rFonts w:ascii="Times New Roman" w:hAnsi="Times New Roman" w:cs="Times New Roman"/>
          <w:sz w:val="28"/>
          <w:szCs w:val="28"/>
        </w:rPr>
        <w:t>счет строительства новых сетей (</w:t>
      </w:r>
      <w:r w:rsidRPr="00A85BFF">
        <w:rPr>
          <w:rFonts w:ascii="Times New Roman" w:hAnsi="Times New Roman" w:cs="Times New Roman"/>
          <w:sz w:val="28"/>
          <w:szCs w:val="28"/>
        </w:rPr>
        <w:t>для 2065 абонентов), так как вода в существующих шахтных колодцах не соответствует требованиям.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Жуковский муниципальный </w:t>
      </w:r>
      <w:r>
        <w:rPr>
          <w:rFonts w:ascii="Times New Roman" w:hAnsi="Times New Roman" w:cs="Times New Roman"/>
          <w:sz w:val="28"/>
          <w:szCs w:val="28"/>
        </w:rPr>
        <w:t>округ.</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рамках реализации регионального проекта "Чистая вода" на территории Жуковского </w:t>
      </w:r>
      <w:r>
        <w:rPr>
          <w:rFonts w:ascii="Times New Roman" w:hAnsi="Times New Roman" w:cs="Times New Roman"/>
          <w:sz w:val="28"/>
          <w:szCs w:val="28"/>
        </w:rPr>
        <w:t>муниципального округа</w:t>
      </w:r>
      <w:r w:rsidRPr="00A85BFF">
        <w:rPr>
          <w:rFonts w:ascii="Times New Roman" w:hAnsi="Times New Roman" w:cs="Times New Roman"/>
          <w:sz w:val="28"/>
          <w:szCs w:val="28"/>
        </w:rPr>
        <w:t xml:space="preserve"> планируется выполнить мероприятия по объектам: "Строительство водоснабжения в н.п. Олсуфьево Жуковского района Брянской области (3-я очередь)", "Строительство системы водоснабжения в н.п. Гостиловка Жуковского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Эффект от мероприятий по реализации данного объекта увеличит долю населения, обеспеченного качественной питьевой водой, на 0,126 процента, </w:t>
      </w:r>
      <w:r w:rsidRPr="00A85BFF">
        <w:rPr>
          <w:rFonts w:ascii="Times New Roman" w:hAnsi="Times New Roman" w:cs="Times New Roman"/>
          <w:sz w:val="28"/>
          <w:szCs w:val="28"/>
        </w:rPr>
        <w:lastRenderedPageBreak/>
        <w:t>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строительства новых объектов и сетей водоснабжения и обеспечения качественной питьевой водой из систем централизованного водоснабжения 1521 человек (в настоящее время обеспеченных некачественной водой из собственных индивидуальных скважин и шахтных колодцев).</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Злынковский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Злынковского района планируется выполнить мероприятия по объектам: "Строительство водозаборного сооружения в г. Злынка Злынковского района Брянской области", "Реконструкция артезианской скважины в д. Карпиловка Злынковского района Брянской области", "Реконструкция артезианской скважины в с. Лысые Злынковского района Брянской области", "Реконструкция системы водоснабжения в с. Денисковичи Злынковского района Брянской области", "Реконструкция системы водоснабжения в с. Большие Щербиничи Злынковского района Брянской области", "Строительство станции обезжелезивания воды на артезианских скважинах N 6, N 7 по ул. Дачная п. Вышков Злынковского района Брянской области", "Реконструкция системы водоснабжения в д. Кожановка Злынковского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0,408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4913 человек Злынковского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Карачевский муниципальный район</w:t>
      </w:r>
      <w:r>
        <w:rPr>
          <w:rFonts w:ascii="Times New Roman" w:hAnsi="Times New Roman" w:cs="Times New Roman"/>
          <w:sz w:val="28"/>
          <w:szCs w:val="28"/>
        </w:rPr>
        <w:t>.</w:t>
      </w:r>
    </w:p>
    <w:p w:rsidR="00E15D8C" w:rsidRPr="00A85BFF" w:rsidRDefault="00E15D8C" w:rsidP="001D38A0">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Карачевского района планируется выполнить мероприятия по объектам: "Реконструкция Барановского водозабора и магистрального водовода в г. Карачеве Карачев</w:t>
      </w:r>
      <w:r w:rsidR="001D38A0">
        <w:rPr>
          <w:rFonts w:ascii="Times New Roman" w:hAnsi="Times New Roman" w:cs="Times New Roman"/>
          <w:sz w:val="28"/>
          <w:szCs w:val="28"/>
        </w:rPr>
        <w:t xml:space="preserve">ского района Брянской области", </w:t>
      </w:r>
      <w:r w:rsidRPr="00A85BFF">
        <w:rPr>
          <w:rFonts w:ascii="Times New Roman" w:hAnsi="Times New Roman" w:cs="Times New Roman"/>
          <w:sz w:val="28"/>
          <w:szCs w:val="28"/>
        </w:rPr>
        <w:t>"Реконструкция системы водоснабжения в г. Карачеве Карачевского района Брянской области", "Строительство водонапорной башни в д. Трыковка Карачевского района Брянской области", "Строительство водопроводной сети по ул. Магистральная, ул. Молодежная, ул. Новая в д. Грибовы Дворы Карачевского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0,158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1914 человек Карачевского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Клетнянский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рамках реализации регионального проекта "Чистая вода" на территории Клетнянского района планируется выполнить мероприятия по </w:t>
      </w:r>
      <w:r w:rsidRPr="00A85BFF">
        <w:rPr>
          <w:rFonts w:ascii="Times New Roman" w:hAnsi="Times New Roman" w:cs="Times New Roman"/>
          <w:sz w:val="28"/>
          <w:szCs w:val="28"/>
        </w:rPr>
        <w:lastRenderedPageBreak/>
        <w:t>объектам: "Реконструкция водоснабжения в н.п. Алень Клетнянского района Брянской области", "Реконструкция водоснабжения в н.п. Синицкое - н.п. Мичурино Клетнянского района Брянской области", "Реконструкция водоснабжения в н.п. Строительная Слобода Клетнянского района Брянской области", "Реконструкция водоснабжения в н.п. Мужиново Клетнянского района Брянской области", "Реконструкция водоснабжения в н.п. Новотроицкое Клетнянского района Брянской области", "Реконструкция сетей водоснабжения в н.п. Харитоновка Клетнянского района Брянской области", "Строительство сетей водоснабжения в п. Клетня Клетнянского района Брянской области (1 очередь)", "Строительство сетей водоснабжения в п. Клетня Клетнянского района Брянской области (2 очередь)", "Реконструкция водоснабжения в н.п. Акуличи Клетнянского района Брянской области", "Реконструкция водоснабжения в н.п. Николаевка Клетнянского района Брянской области", "Строительство сетей водоснабжения в н.п. Старая Мармазовка Клетнянского района Брянской области", "Реконструкция сетей водоснабжения в н.п. Семиричи Клетнянского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0,772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9345 человек Клетнянского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Климовский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Климовского района планируется выполнить мероприятия по объектам: "Реконструкция водоснабжения в р.п. Климово Климовского района Брянской области (2 очередь строительства)", "Реконструкция водоснабжения в с. Истопки Климовского района Брянской области", "Реконструкция водоснабжения в с. Каменский Хутор Климовского района Брянской области", "Строительство артезианской скважины на территории Урочище Чирячье в р.п. Климово Климовского района Брянской области", "Реконструкция водоснабжения в с. Кирилловка Климовского района Брянской области", "Реконструкция водоснабжения в с. Лакомая Буда Климовского района Брянской области", "Реконструкция водоснабжения в с. Новые Юрковичи Климовского района Брянской области", "Реконструкция водоснабжения в е. Новый Ропск Климовского района Брянской области", "Реконструкция водоснабжения в с. Сачковичи Климовского района Брянской области", "Реконструкция водоснабжения в с. Сытая Буда Климовского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0,721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Прирост целевых показателей достигается за счет обеспечения 8717 человек Климовского района качественной питьевой водой из систем </w:t>
      </w:r>
      <w:r w:rsidRPr="00A85BFF">
        <w:rPr>
          <w:rFonts w:ascii="Times New Roman" w:hAnsi="Times New Roman" w:cs="Times New Roman"/>
          <w:sz w:val="28"/>
          <w:szCs w:val="28"/>
        </w:rPr>
        <w:lastRenderedPageBreak/>
        <w:t>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Клинцовский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Клинцовского района планируется выполнить мероприятия по объектам: "Реконструкция артскважины и водопроводной сети в с. Гулевка Клинцовского района Брянской области", "Реконструкция артскважины и водопроводной сети в п. Первое Мая Клинцовского района Брянской области", "Реконструкция системы водоснабжения в с. Смотрова Буда Клинцовского района Брянской области", "Реконструкция артскважины и водопроводной сети в с. Ущерпье Клинцовского района Брянской области", "Реконструкция артезианской скважины и водопроводной сети в с. Коржовка-Голубовка Клинцовского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0,276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3338 человек Клинцовского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Комаричский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рамках реализации регионального проекта "Чистая вода" на территории Комаричского района планируется выполнить мероприятия по объектам: </w:t>
      </w:r>
      <w:r w:rsidR="001D38A0" w:rsidRPr="00A85BFF">
        <w:rPr>
          <w:rFonts w:ascii="Times New Roman" w:hAnsi="Times New Roman" w:cs="Times New Roman"/>
          <w:sz w:val="28"/>
          <w:szCs w:val="28"/>
        </w:rPr>
        <w:t>"</w:t>
      </w:r>
      <w:r w:rsidR="008E50F2" w:rsidRPr="008E50F2">
        <w:rPr>
          <w:rFonts w:ascii="Times New Roman" w:hAnsi="Times New Roman" w:cs="Times New Roman"/>
          <w:sz w:val="28"/>
          <w:szCs w:val="28"/>
        </w:rPr>
        <w:t>Реконструкция системы водоснабжения в рп Комаричи Комаричского района Брянской области</w:t>
      </w:r>
      <w:r w:rsidR="001D38A0" w:rsidRPr="00A85BFF">
        <w:rPr>
          <w:rFonts w:ascii="Times New Roman" w:hAnsi="Times New Roman" w:cs="Times New Roman"/>
          <w:sz w:val="28"/>
          <w:szCs w:val="28"/>
        </w:rPr>
        <w:t>"</w:t>
      </w:r>
      <w:r w:rsidR="008E50F2">
        <w:rPr>
          <w:rFonts w:ascii="Times New Roman" w:hAnsi="Times New Roman" w:cs="Times New Roman"/>
          <w:sz w:val="28"/>
          <w:szCs w:val="28"/>
        </w:rPr>
        <w:t xml:space="preserve">, </w:t>
      </w:r>
      <w:r w:rsidRPr="00A85BFF">
        <w:rPr>
          <w:rFonts w:ascii="Times New Roman" w:hAnsi="Times New Roman" w:cs="Times New Roman"/>
          <w:sz w:val="28"/>
          <w:szCs w:val="28"/>
        </w:rPr>
        <w:t>"Модернизация системы водоснабжения в с. Бочарово Комаричского района Брянской области (1 очередь строительства)".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0,668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8079 человек Комаричского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На территории Комаричского района самое минимальное число жителей обеспеченного качественным водоснабжением из центральной системы водоснабжения (15,46%).</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Красногорский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Красногорского района планируется выполнить мероприятия по объектам: "Модернизация водозаборного сооружения по пер. Славы в пгт Красная Гора Красногорского района Брянской области", "Модернизация системы водоснабжения в пгт Красная Гора Красногорского района Брянской области (1 очередь)", "Модернизация системы водоснабжения в пгт Красная Гора Красногорского района Брянской области (2 очередь)".</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0,063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lastRenderedPageBreak/>
        <w:t>Прирост целевых показателей достигается за счет обеспечения 774 человек Красногорского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Мглинский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Мглинского района планируется выполнить мероприятия по объектам: "Строительство артезианской скважины по 2-му пер. Ворошилова в г. Мглин Мглинского района Брянской области", "Реконструкция водопроводной сети в н.п. Новая Романовка Мглинского района Брянской области", "Реконструкция водопроводной сети в н.п. Высокое Мглинского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0,056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691 человек Мглинского района качественной питьевой водой из систем централизованного водоснабжения.</w:t>
      </w:r>
    </w:p>
    <w:p w:rsidR="00E15D8C"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Навлинский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Навлинского района планируется выполнить мероприятия по объектам: "Строительство водозаборного сооружения по ул. Тютчева в п. Навля Навлинского района Брянской области", "Строительство системы водоснабжения в с. Чичково Навлинского района Брянской области", "Строительство водопроводной сети по ул. Ижукина в п. Навля Навлинского района Брянской области", "Строительство системы водоснабжения в п. Алтухово Навлинского района Брянской области", "Реконструкция системы водоснабжения в с. Алешинка Навлинского района Брянской области", "Строительство системы водоснабжения в д. Щегловка Навлинского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0,250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3029 человек Навлинского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Новозыбковский городской округ</w:t>
      </w:r>
      <w:r>
        <w:rPr>
          <w:rFonts w:ascii="Times New Roman" w:hAnsi="Times New Roman" w:cs="Times New Roman"/>
          <w:sz w:val="28"/>
          <w:szCs w:val="28"/>
        </w:rPr>
        <w:t>.</w:t>
      </w:r>
    </w:p>
    <w:p w:rsidR="00E15D8C" w:rsidRPr="00A85BFF" w:rsidRDefault="00E15D8C" w:rsidP="001D38A0">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Новозыбковского городского округа планируется выполнить мероприятия по объектам: "Строитель</w:t>
      </w:r>
      <w:r w:rsidR="001D38A0">
        <w:rPr>
          <w:rFonts w:ascii="Times New Roman" w:hAnsi="Times New Roman" w:cs="Times New Roman"/>
          <w:sz w:val="28"/>
          <w:szCs w:val="28"/>
        </w:rPr>
        <w:t xml:space="preserve">ство водозаборного сооружения с </w:t>
      </w:r>
      <w:r w:rsidRPr="00A85BFF">
        <w:rPr>
          <w:rFonts w:ascii="Times New Roman" w:hAnsi="Times New Roman" w:cs="Times New Roman"/>
          <w:sz w:val="28"/>
          <w:szCs w:val="28"/>
        </w:rPr>
        <w:t xml:space="preserve">водонапорной башней в пос. Опытная Станция Новозыбковского района Брянской области", "Строительство водозаборного сооружения с водонапорной башней в с. Катичи Новозыбковского района Брянской области", "Строительство водозаборного сооружения с водонапорной башней в с. Манюки Новозыбковского района Брянской области", "Строительство водозаборного сооружения с наземной насосной станцией в с. Старые </w:t>
      </w:r>
      <w:r w:rsidRPr="00A85BFF">
        <w:rPr>
          <w:rFonts w:ascii="Times New Roman" w:hAnsi="Times New Roman" w:cs="Times New Roman"/>
          <w:sz w:val="28"/>
          <w:szCs w:val="28"/>
        </w:rPr>
        <w:lastRenderedPageBreak/>
        <w:t>Бобовичи Новозыбковского района Брянской области", "Строительство водозаборного сооружения с водонапорной башней в с. Белый Колодезь Новозыбковского городского округа Брянской области", "Реконструкция системы водоснабжения в д. Крутоберезка Новозыбковского городского округа Брянской области", "Реконструкция системы водоснабжения в с. Новые Бобовичи Новозыбковского городского округа Брянской области", "Реконструкция системы водоснабжения в с. Замишево Новозыбковского городского округа Брянской области", "Реконструкция системы водоснабжения в с. Вихолка Новозыбковского городского округа Брянской области", "Реконструкция системы водоснабжения в с. Старый Кривец Новозыбковского городского округа Брянской области", "Реконструкция системы водоснабжения в хут. Величка Новозыбковского городского округа Брянской области", "Реконструкция системы водоснабжения в с. Верещаки Новозыбковского городского округа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0,431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5200 человек Новозыбковского городского округа качественной питьевой водой из систем централизованного водоснабжения.</w:t>
      </w:r>
    </w:p>
    <w:p w:rsidR="00E15D8C"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Погарский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Погарского района планируется выполнить мероприятия по объектам: "Строительство системы водоснабжения в с. Лобки Погарского района Брянской области", "Реконструкция водопроводных сетей по ул. Жданова и Нижне-Ленинская в пгт Погар Погарского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00,114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1379 человек Погарского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Почепский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рамках реализации регионального проекта "Чистая вода" на территории Почепского района планируется выполнить мероприятия по объектам: "Строительство водопроводной сети в с. Баклань Почепского района Брянской области", "Строительство водозаборного сооружения в с. Валуец Почепского района Брянской области", "Строительство водозаборного сооружения с разводящими сетями в с. Пашково Почепского района Брянской области", "Строительство водопроводной сети в с. Сетолово Почепского района Брянской области", "Строительство артезианской скважины с разводящими сетями по ул. Ново-Полянская в г. Почепе Брянской области", "Строительство водозаборного сооружения в п. Октябрьский Почепского района Брянской области", "Строительство </w:t>
      </w:r>
      <w:r w:rsidRPr="00A85BFF">
        <w:rPr>
          <w:rFonts w:ascii="Times New Roman" w:hAnsi="Times New Roman" w:cs="Times New Roman"/>
          <w:sz w:val="28"/>
          <w:szCs w:val="28"/>
        </w:rPr>
        <w:lastRenderedPageBreak/>
        <w:t>водозаборного сооружения в с. Баклань Почепского района Брянской области", "Строительство водозаборного сооружения в с. Васьковичи Почепского района Брянской области", "Строительство водозаборного сооружения с разводящими сетями в д. Кожемяки Почепского района Брянской области", "Строительство водозаборного сооружения с разводящими сетями в с. Витовка Почепского района Брянской области", "Строительство водозаборного сооружения в с. Супрягино Почепского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0,494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4991 человек Почепского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Рогнединский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Рогнединского района планируется выполнить мероприятия по объектам: "Реконструкция системы водоснабжения в н.п. Осовик Рогнединского района Брянской области", "Реконструкция системы водоснабжения в н.п. Тюнино Рогнединского района Брянской области", "Реконструкция системы водоснабжения в н.п. Рогнедино Рогнединского района Брянской области", "Реконструкция системы водоснабжения в н.п. Снопоть Рогнединского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0,145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1750 человек Рогнединского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Севский муниципальный район</w:t>
      </w:r>
      <w:r>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Севского района планируется выполнить мероприятия по объектам: "Реконструкция системы водоснабжения в с. Бересток Севского района Брянской области", "Строительство системы водоснабжения в д. Стрелецкая Слобода Севского района Брянской области", "Строительство системы водоснабжения в п. Косицы Севского района Брянской области", "Строительство системы водоснабжения в с. Сенное Севского района Брянской области", "Строительство системы водоснабжения в с. Шведчики Севского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0,173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2102 человек Севского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lastRenderedPageBreak/>
        <w:t>Стародубский муниципальный округ.</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Стародубского района планируется выполнить мероприятия по объектам: "Водозаборное сооружение в н.п. Логоватое Стародубского района Брянской области", "Реконструкция сетей водоснабжения в с. Курковичи Стародубского района Брянской области", "Реконструкция системы водоснабжения в д. Случок Стародубского района Брянской области", "Реконструкция системы водоснабжения в с. Сергеевск Стародубского района Брянской области", "Строительство водонапорной башни в д. Прокоповка Староду</w:t>
      </w:r>
      <w:r w:rsidR="008E50F2">
        <w:rPr>
          <w:rFonts w:ascii="Times New Roman" w:hAnsi="Times New Roman" w:cs="Times New Roman"/>
          <w:sz w:val="28"/>
          <w:szCs w:val="28"/>
        </w:rPr>
        <w:t>бского района Брянской области",</w:t>
      </w:r>
      <w:r w:rsidR="008E50F2" w:rsidRPr="008E50F2">
        <w:rPr>
          <w:rFonts w:ascii="Times New Roman" w:hAnsi="Times New Roman" w:cs="Times New Roman"/>
          <w:sz w:val="28"/>
          <w:szCs w:val="28"/>
        </w:rPr>
        <w:t xml:space="preserve"> </w:t>
      </w:r>
      <w:r w:rsidR="008E50F2">
        <w:rPr>
          <w:rFonts w:ascii="Times New Roman" w:hAnsi="Times New Roman" w:cs="Times New Roman"/>
          <w:sz w:val="28"/>
          <w:szCs w:val="28"/>
        </w:rPr>
        <w:t>"</w:t>
      </w:r>
      <w:r w:rsidR="008E50F2" w:rsidRPr="00A85BFF">
        <w:rPr>
          <w:rFonts w:ascii="Times New Roman" w:hAnsi="Times New Roman" w:cs="Times New Roman"/>
          <w:sz w:val="28"/>
          <w:szCs w:val="28"/>
        </w:rPr>
        <w:t>Строительство насосной станции второго подъема и резервуара воды по ул. Чехова в г. Стародуб Брянской области"</w:t>
      </w:r>
      <w:r w:rsidR="008E50F2">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w:t>
      </w:r>
      <w:r w:rsidR="001D38A0">
        <w:rPr>
          <w:rFonts w:ascii="Times New Roman" w:hAnsi="Times New Roman" w:cs="Times New Roman"/>
          <w:sz w:val="28"/>
          <w:szCs w:val="28"/>
        </w:rPr>
        <w:t>твенной питьевой водой, на 0,289</w:t>
      </w:r>
      <w:r w:rsidRPr="00A85BFF">
        <w:rPr>
          <w:rFonts w:ascii="Times New Roman" w:hAnsi="Times New Roman" w:cs="Times New Roman"/>
          <w:sz w:val="28"/>
          <w:szCs w:val="28"/>
        </w:rPr>
        <w:t xml:space="preserve">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w:t>
      </w:r>
      <w:r w:rsidR="001D38A0">
        <w:rPr>
          <w:rFonts w:ascii="Times New Roman" w:hAnsi="Times New Roman" w:cs="Times New Roman"/>
          <w:sz w:val="28"/>
          <w:szCs w:val="28"/>
        </w:rPr>
        <w:t xml:space="preserve"> обеспечения 3504</w:t>
      </w:r>
      <w:r w:rsidRPr="00A85BFF">
        <w:rPr>
          <w:rFonts w:ascii="Times New Roman" w:hAnsi="Times New Roman" w:cs="Times New Roman"/>
          <w:sz w:val="28"/>
          <w:szCs w:val="28"/>
        </w:rPr>
        <w:t xml:space="preserve"> человек Стародубского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Суземский муниципальный район</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Суземского района планируется выполнить мероприятия по объектам: "Реконструкция водопроводных сетей пгт. Кокоревка, Суземского района", "Строительство водопроводных сетей в пгт Кокоревка Суземского района Брянской области", "Реконструкция системы водоснабжения в с. Негино Суземского района Брянской области", "Реконструкция системы водоснабжения в с. Погощь Суземского района Брянской области", "Реконструкция системы водоснабжения по ул. Молодежная и ул. Хуторская в с. Павловичи Суземского района Брянской области", "Реконструкция системы водоснабжения по ул. Полевая, ул. Первомайская, ул. Молодежная в п. Селечня Суземского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0,110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1335 человек Суземского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Суражский муниципальный район</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Суражского района планируется выполнить мероприятия по объектам: "Реконструкция водопроводной сети в с. Овчинец Суражского района Брянской области", "Реконструкция системы водоснабжения в г. Сураж Суражского района Брянской области", "Строительство артезианской скважины в с. Нивное Суражского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Эффект от мероприятий по реализации данного объекта увеличит долю населения, обеспеченного качественной питьевой водой, на 0,077 процента, </w:t>
      </w:r>
      <w:r w:rsidRPr="00A85BFF">
        <w:rPr>
          <w:rFonts w:ascii="Times New Roman" w:hAnsi="Times New Roman" w:cs="Times New Roman"/>
          <w:sz w:val="28"/>
          <w:szCs w:val="28"/>
        </w:rPr>
        <w:lastRenderedPageBreak/>
        <w:t>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926 человек Суражского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Трубчевский муниципальный район</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Трубчевского района планируется выполнить мероприятия по объектам: "Реконструкция водопровода по ул. Советская пгт Белая Березка Трубчевского района (2 очередь)", "Строительство артезианской скважины и сетей водоснабжения в г. Трубчевск Брянской области", "Строительство артезианской скважины и сетей водоснабжения в д. Красное Трубчевского района Брянской области", "Строительство сетей водоснабжения в д. Городцы Трубчевского района Брянской области (2-я очередь)".</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0,053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643 человек Трубчевского района качественной питьевой водой из систем централизованного водоснабжения.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Унечский муниципальный район.</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рамках реализации регионального проекта "Чистая вода" на территории Унечского района планируется выполнить мероприятия по объектам: "Строительство централизованного водоснабжения залинейной части города Унеча Унечского района Брянской области (2 очередь) 2 этап", "Реконструкция водоснабжения в н.п. Брянкустичи Унечского района Брянской области", "Строительство водоснабжения в н.п. Робчик Унечского района Брянской области"(1 очередь), "Реконструкция водоснабжения в н.п. Рюхово Унечского района Брянской области", "Строительство водоснабжения в н.п. Старая Гута Унечского района Брянской области", "Модернизация оборудования на станции 2-го подъема воды в г. Унеча Унечского района Брянской области", "Реконструкция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 "Реконструкция водоснабжения в н.п. Писаревка Унечского района Брянской области", "Строительство водоснабжения в н.п. Красновичи Унечского района Брянской области", "Реконструкция водопроводных сетей в н.п. Рохманово Унечского района Брянской области", "Реконструкция водоснабжения в н.п. Староселье Унечского района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Эффект от мероприятий по реализации данного объекта увеличит долю населения, обеспеченного качественной питьевой водой, на 0,698 процента, общего населения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Прирост целевых показателей достигается за счет обеспечения 8445 человек Унечского района качественной питьевой водой из систем централизованного водоснабжения.</w:t>
      </w:r>
    </w:p>
    <w:p w:rsidR="00E15D8C" w:rsidRPr="00E75D9A"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Реализация регионального проекта "Чистая вода</w:t>
      </w:r>
      <w:r>
        <w:rPr>
          <w:rFonts w:ascii="Times New Roman" w:hAnsi="Times New Roman" w:cs="Times New Roman"/>
          <w:sz w:val="28"/>
          <w:szCs w:val="28"/>
        </w:rPr>
        <w:t xml:space="preserve"> (Брянская область)</w:t>
      </w:r>
      <w:r w:rsidRPr="00A85BFF">
        <w:rPr>
          <w:rFonts w:ascii="Times New Roman" w:hAnsi="Times New Roman" w:cs="Times New Roman"/>
          <w:sz w:val="28"/>
          <w:szCs w:val="28"/>
        </w:rPr>
        <w:t xml:space="preserve">" </w:t>
      </w:r>
      <w:r w:rsidRPr="00A85BFF">
        <w:rPr>
          <w:rFonts w:ascii="Times New Roman" w:hAnsi="Times New Roman" w:cs="Times New Roman"/>
          <w:sz w:val="28"/>
          <w:szCs w:val="28"/>
        </w:rPr>
        <w:lastRenderedPageBreak/>
        <w:t xml:space="preserve">осуществляется за счет строительства и реконструкции объектов в соответствии с перечнем, представленном в </w:t>
      </w:r>
      <w:hyperlink w:anchor="sub_50000" w:history="1">
        <w:r w:rsidRPr="00E75D9A">
          <w:rPr>
            <w:rFonts w:ascii="Times New Roman" w:hAnsi="Times New Roman" w:cs="Times New Roman"/>
            <w:sz w:val="28"/>
            <w:szCs w:val="28"/>
          </w:rPr>
          <w:t>приложении 5</w:t>
        </w:r>
      </w:hyperlink>
      <w:r w:rsidRPr="00E75D9A">
        <w:rPr>
          <w:rFonts w:ascii="Times New Roman" w:hAnsi="Times New Roman" w:cs="Times New Roman"/>
          <w:sz w:val="28"/>
          <w:szCs w:val="28"/>
        </w:rPr>
        <w:t xml:space="preserve"> к настоящей государственной программе</w:t>
      </w:r>
    </w:p>
    <w:p w:rsidR="00E15D8C" w:rsidRPr="00E75D9A"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E75D9A">
        <w:rPr>
          <w:rFonts w:ascii="Times New Roman" w:hAnsi="Times New Roman" w:cs="Times New Roman"/>
          <w:sz w:val="28"/>
          <w:szCs w:val="28"/>
        </w:rPr>
        <w:t>Объекты отобраны по итогам инвентаризации с учетом рейтингования по показателю бюджетной эффективности.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E75D9A">
        <w:rPr>
          <w:rFonts w:ascii="Times New Roman" w:hAnsi="Times New Roman" w:cs="Times New Roman"/>
          <w:sz w:val="28"/>
          <w:szCs w:val="28"/>
        </w:rPr>
        <w:t xml:space="preserve">(абзац введен </w:t>
      </w:r>
      <w:hyperlink r:id="rId21" w:history="1">
        <w:r w:rsidRPr="00E75D9A">
          <w:rPr>
            <w:rFonts w:ascii="Times New Roman" w:hAnsi="Times New Roman" w:cs="Times New Roman"/>
            <w:sz w:val="28"/>
            <w:szCs w:val="28"/>
          </w:rPr>
          <w:t>Постановлением</w:t>
        </w:r>
      </w:hyperlink>
      <w:r w:rsidRPr="00A85BFF">
        <w:rPr>
          <w:rFonts w:ascii="Times New Roman" w:hAnsi="Times New Roman" w:cs="Times New Roman"/>
          <w:sz w:val="28"/>
          <w:szCs w:val="28"/>
        </w:rPr>
        <w:t xml:space="preserve"> Правительства Брянской области от 30.07.2019 N 339-п)</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Показатель бюджетной эффективности определяется как соотношение объема инвестиций из федерального бюджета, направляемых на данный объект, к плановому показателю увеличения доли населения, обеспеченного качественной питьевой водой из систем централизованного водоснабжения.</w:t>
      </w:r>
    </w:p>
    <w:p w:rsidR="00E15D8C" w:rsidRPr="000C7FA0"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Финансовое обеспечение реализации мероприятий регионального проекта "Чистая вода</w:t>
      </w:r>
      <w:r>
        <w:rPr>
          <w:rFonts w:ascii="Times New Roman" w:hAnsi="Times New Roman" w:cs="Times New Roman"/>
          <w:sz w:val="28"/>
          <w:szCs w:val="28"/>
        </w:rPr>
        <w:t xml:space="preserve"> (Брянская область)</w:t>
      </w:r>
      <w:r w:rsidRPr="00A85BFF">
        <w:rPr>
          <w:rFonts w:ascii="Times New Roman" w:hAnsi="Times New Roman" w:cs="Times New Roman"/>
          <w:sz w:val="28"/>
          <w:szCs w:val="28"/>
        </w:rPr>
        <w:t xml:space="preserve">", динамика достижения целевых показателей (прогноз), этапы реализации мероприятий регионального проекта, прогноз тарифных последствий реализации регионального проекта, рейтинг объектов, информация о достижении показателей регионального проекта представлены в </w:t>
      </w:r>
      <w:hyperlink w:anchor="sub_60000" w:history="1">
        <w:r w:rsidRPr="000C7FA0">
          <w:rPr>
            <w:rFonts w:ascii="Times New Roman" w:hAnsi="Times New Roman" w:cs="Times New Roman"/>
            <w:sz w:val="28"/>
            <w:szCs w:val="28"/>
          </w:rPr>
          <w:t>приложениях 6 - 11</w:t>
        </w:r>
      </w:hyperlink>
      <w:r w:rsidRPr="000C7FA0">
        <w:rPr>
          <w:rFonts w:ascii="Times New Roman" w:hAnsi="Times New Roman" w:cs="Times New Roman"/>
          <w:sz w:val="28"/>
          <w:szCs w:val="28"/>
        </w:rPr>
        <w:t xml:space="preserve"> к настоящей государственной программе соответственно.</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0C7FA0">
        <w:rPr>
          <w:rFonts w:ascii="Times New Roman" w:hAnsi="Times New Roman" w:cs="Times New Roman"/>
          <w:sz w:val="28"/>
          <w:szCs w:val="28"/>
        </w:rPr>
        <w:t xml:space="preserve">В целях реализации </w:t>
      </w:r>
      <w:hyperlink r:id="rId22" w:history="1">
        <w:r w:rsidRPr="000C7FA0">
          <w:rPr>
            <w:rFonts w:ascii="Times New Roman" w:hAnsi="Times New Roman" w:cs="Times New Roman"/>
            <w:sz w:val="28"/>
            <w:szCs w:val="28"/>
          </w:rPr>
          <w:t>Плана</w:t>
        </w:r>
      </w:hyperlink>
      <w:r w:rsidRPr="000C7FA0">
        <w:rPr>
          <w:rFonts w:ascii="Times New Roman" w:hAnsi="Times New Roman" w:cs="Times New Roman"/>
          <w:sz w:val="28"/>
          <w:szCs w:val="28"/>
        </w:rPr>
        <w:t xml:space="preserve"> действий по привлечению в жилищно-коммунальное хозяйство частных инвестиций, утвержденного </w:t>
      </w:r>
      <w:hyperlink r:id="rId23" w:history="1">
        <w:r w:rsidRPr="000C7FA0">
          <w:rPr>
            <w:rFonts w:ascii="Times New Roman" w:hAnsi="Times New Roman" w:cs="Times New Roman"/>
            <w:sz w:val="28"/>
            <w:szCs w:val="28"/>
          </w:rPr>
          <w:t>распоряжением</w:t>
        </w:r>
      </w:hyperlink>
      <w:r w:rsidRPr="00A85BFF">
        <w:rPr>
          <w:rFonts w:ascii="Times New Roman" w:hAnsi="Times New Roman" w:cs="Times New Roman"/>
          <w:sz w:val="28"/>
          <w:szCs w:val="28"/>
        </w:rPr>
        <w:t xml:space="preserve"> Правительства Российской Федерации от 22.08.2011 N 1493-р, проведена работа по разработке предприятиями ЖКХ программ комплексного развития систем коммунальной инфраструктуры.</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 состоянию на 01.10.2018 разработаны и утверждены программы комплексного развития систем коммунальной инфраструктуры в 262 (100%) из 262 муниципальных образований.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Создание рыночных конкурентных отношений, сопровождаемое привлечением частного капитала в отрасль, является основным механизмом решения многочисленных проблем сферы ЖКХ.</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По-прежнему актуальной проблемой остается технической состояние объектов коммунальной инфраструктуры - изношенность инженерной инфраструктуры около 50%, что сказывается на качестве предоставления жилищно-коммунальных услуг.</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Износ основных фондов водоснабжения в Брянской области составляет около 50%, общая протяженность уличных водопроводных сетей по области составляет 7403,9 км, требует замены 2361,3 км, проложенных более 30 - 40 лет назад и отслуживших нормативный срок.</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целях приведения инженерных сетей в нормативное состояние ежегодно на подготовку объектов ЖКХ к зиме выделяются средства из областного бюджета для проведения капитального ремонта объектов коммунального назначения, находящихся в муниципальной собственности, в том числе:</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2017 год - 7,9 млн.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2018 год - 8,01 млн.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2019 год - 12,0 млн.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lastRenderedPageBreak/>
        <w:t>2020 год -12,0 млн. рублей.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Принимаемые меры по подготовке объектов коммунального хозяйства к зиме за счет финансовой помощи муниципальным образованиям из областного бюджета позволило в какой-то мере улучшить ситуацию в отдельных муниципальных образованиях, однако решить задачу капитального ремонта объектов коммунального назначения в большинстве муниципалитетов не имеется возможности из-за отсутствия средств.</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Жилищный фонд Брянской области, по данным Брянскстата, по состоянию на 1 января 2020 года составил 36313,8 тыс. кв. м, в том числе 24359,6 тыс. кв. м расположены в городской местности и 11954,2 в сельской. Данный жилищный фонд требует постоянного и эффективного контроля со стороны органов власти Брянской области.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Государственная жилищная инспекция Брянской области является соисполнителем государственной программы "Развитие топливно-энергетического комплекса и жилищно-коммунального хозяйства Брянской области" в части осуществления предупреждения, выявления и пресечения нарушений </w:t>
      </w:r>
      <w:hyperlink r:id="rId24" w:history="1">
        <w:r w:rsidRPr="005D456A">
          <w:rPr>
            <w:rFonts w:ascii="Times New Roman" w:hAnsi="Times New Roman" w:cs="Times New Roman"/>
            <w:sz w:val="28"/>
            <w:szCs w:val="28"/>
          </w:rPr>
          <w:t>жилищного законодательства</w:t>
        </w:r>
      </w:hyperlink>
      <w:r w:rsidRPr="005D456A">
        <w:rPr>
          <w:rFonts w:ascii="Times New Roman" w:hAnsi="Times New Roman" w:cs="Times New Roman"/>
          <w:sz w:val="28"/>
          <w:szCs w:val="28"/>
        </w:rPr>
        <w:t xml:space="preserve"> </w:t>
      </w:r>
      <w:r w:rsidRPr="00A85BFF">
        <w:rPr>
          <w:rFonts w:ascii="Times New Roman" w:hAnsi="Times New Roman" w:cs="Times New Roman"/>
          <w:sz w:val="28"/>
          <w:szCs w:val="28"/>
        </w:rPr>
        <w:t>и лицензионных требований к деятельности по управлению многоквартирными домами.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Задачей государственной жилищной инспекции Брянской области как соисполнителя данной государственной программы является обеспечение государственного надзора за выполнением </w:t>
      </w:r>
      <w:hyperlink r:id="rId25" w:history="1">
        <w:r w:rsidRPr="005D456A">
          <w:rPr>
            <w:rFonts w:ascii="Times New Roman" w:hAnsi="Times New Roman" w:cs="Times New Roman"/>
            <w:sz w:val="28"/>
            <w:szCs w:val="28"/>
          </w:rPr>
          <w:t>жилищного законодательства</w:t>
        </w:r>
      </w:hyperlink>
      <w:r w:rsidRPr="00A85BFF">
        <w:rPr>
          <w:rFonts w:ascii="Times New Roman" w:hAnsi="Times New Roman" w:cs="Times New Roman"/>
          <w:sz w:val="28"/>
          <w:szCs w:val="28"/>
        </w:rPr>
        <w:t xml:space="preserve"> и лицензионного контроля при осуществлении деятельности по управлению многоквартирными домами.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Источником финансирования деятельности государственной жилищной инспекции Брянской области являются средства областного бюджета.</w:t>
      </w:r>
    </w:p>
    <w:p w:rsidR="00E15D8C" w:rsidRPr="005D456A"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Реализация полномочий по осуществлению регионального государственного жилищного надзора заключается, в том числе, и в проведении проверок исполнения требований, установленных </w:t>
      </w:r>
      <w:hyperlink r:id="rId26" w:history="1">
        <w:r w:rsidRPr="005D456A">
          <w:rPr>
            <w:rFonts w:ascii="Times New Roman" w:hAnsi="Times New Roman" w:cs="Times New Roman"/>
            <w:sz w:val="28"/>
            <w:szCs w:val="28"/>
          </w:rPr>
          <w:t>жилищным законодательством</w:t>
        </w:r>
      </w:hyperlink>
      <w:r w:rsidRPr="005D456A">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Проведение проверок осуществляется государственной жилищной инспекцией Брянской области в установленном законом порядке в виде плановых и внеплановых проверок (документарных или выездных), которые проводятся с учетом требований </w:t>
      </w:r>
      <w:hyperlink r:id="rId27" w:history="1">
        <w:r w:rsidRPr="00FD6025">
          <w:rPr>
            <w:rFonts w:ascii="Times New Roman" w:hAnsi="Times New Roman" w:cs="Times New Roman"/>
            <w:sz w:val="28"/>
            <w:szCs w:val="28"/>
          </w:rPr>
          <w:t>Федерального закона</w:t>
        </w:r>
      </w:hyperlink>
      <w:r w:rsidRPr="00A85BFF">
        <w:rPr>
          <w:rFonts w:ascii="Times New Roman" w:hAnsi="Times New Roman" w:cs="Times New Roman"/>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w:t>
      </w:r>
      <w:r w:rsidRPr="00A85BFF">
        <w:rPr>
          <w:rFonts w:ascii="Times New Roman" w:hAnsi="Times New Roman" w:cs="Times New Roman"/>
          <w:sz w:val="28"/>
          <w:szCs w:val="28"/>
        </w:rPr>
        <w:t xml:space="preserve"> 201</w:t>
      </w:r>
      <w:r>
        <w:rPr>
          <w:rFonts w:ascii="Times New Roman" w:hAnsi="Times New Roman" w:cs="Times New Roman"/>
          <w:sz w:val="28"/>
          <w:szCs w:val="28"/>
        </w:rPr>
        <w:t>9</w:t>
      </w:r>
      <w:r w:rsidRPr="00A85BFF">
        <w:rPr>
          <w:rFonts w:ascii="Times New Roman" w:hAnsi="Times New Roman" w:cs="Times New Roman"/>
          <w:sz w:val="28"/>
          <w:szCs w:val="28"/>
        </w:rPr>
        <w:t xml:space="preserve"> год</w:t>
      </w:r>
      <w:r>
        <w:rPr>
          <w:rFonts w:ascii="Times New Roman" w:hAnsi="Times New Roman" w:cs="Times New Roman"/>
          <w:sz w:val="28"/>
          <w:szCs w:val="28"/>
        </w:rPr>
        <w:t>у</w:t>
      </w:r>
      <w:r w:rsidRPr="00A85BFF">
        <w:rPr>
          <w:rFonts w:ascii="Times New Roman" w:hAnsi="Times New Roman" w:cs="Times New Roman"/>
          <w:sz w:val="28"/>
          <w:szCs w:val="28"/>
        </w:rPr>
        <w:t xml:space="preserve"> государственной жилищной инспекцией Брянской области в рамках проверок обследовано жилищного фонда общей площадью 1</w:t>
      </w:r>
      <w:r>
        <w:rPr>
          <w:rFonts w:ascii="Times New Roman" w:hAnsi="Times New Roman" w:cs="Times New Roman"/>
          <w:sz w:val="28"/>
          <w:szCs w:val="28"/>
        </w:rPr>
        <w:t>1 423</w:t>
      </w:r>
      <w:r w:rsidRPr="00A85BFF">
        <w:rPr>
          <w:rFonts w:ascii="Times New Roman" w:hAnsi="Times New Roman" w:cs="Times New Roman"/>
          <w:sz w:val="28"/>
          <w:szCs w:val="28"/>
        </w:rPr>
        <w:t>,</w:t>
      </w:r>
      <w:r>
        <w:rPr>
          <w:rFonts w:ascii="Times New Roman" w:hAnsi="Times New Roman" w:cs="Times New Roman"/>
          <w:sz w:val="28"/>
          <w:szCs w:val="28"/>
        </w:rPr>
        <w:t>7</w:t>
      </w:r>
      <w:r w:rsidRPr="00A85BFF">
        <w:rPr>
          <w:rFonts w:ascii="Times New Roman" w:hAnsi="Times New Roman" w:cs="Times New Roman"/>
          <w:sz w:val="28"/>
          <w:szCs w:val="28"/>
        </w:rPr>
        <w:t> тыс. кв. метров.</w:t>
      </w:r>
    </w:p>
    <w:p w:rsidR="00E15D8C"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201</w:t>
      </w:r>
      <w:r>
        <w:rPr>
          <w:rFonts w:ascii="Times New Roman" w:hAnsi="Times New Roman" w:cs="Times New Roman"/>
          <w:sz w:val="28"/>
          <w:szCs w:val="28"/>
        </w:rPr>
        <w:t>8</w:t>
      </w:r>
      <w:r w:rsidRPr="00A85BFF">
        <w:rPr>
          <w:rFonts w:ascii="Times New Roman" w:hAnsi="Times New Roman" w:cs="Times New Roman"/>
          <w:sz w:val="28"/>
          <w:szCs w:val="28"/>
        </w:rPr>
        <w:t xml:space="preserve"> году в государственную жилищную инспекцию Брянской области поступило </w:t>
      </w:r>
      <w:r>
        <w:rPr>
          <w:rFonts w:ascii="Times New Roman" w:hAnsi="Times New Roman" w:cs="Times New Roman"/>
          <w:sz w:val="28"/>
          <w:szCs w:val="28"/>
        </w:rPr>
        <w:t>6190</w:t>
      </w:r>
      <w:r w:rsidRPr="00A85BFF">
        <w:rPr>
          <w:rFonts w:ascii="Times New Roman" w:hAnsi="Times New Roman" w:cs="Times New Roman"/>
          <w:sz w:val="28"/>
          <w:szCs w:val="28"/>
        </w:rPr>
        <w:t xml:space="preserve"> обращений, в 201</w:t>
      </w:r>
      <w:r>
        <w:rPr>
          <w:rFonts w:ascii="Times New Roman" w:hAnsi="Times New Roman" w:cs="Times New Roman"/>
          <w:sz w:val="28"/>
          <w:szCs w:val="28"/>
        </w:rPr>
        <w:t>9</w:t>
      </w:r>
      <w:r w:rsidRPr="00A85BFF">
        <w:rPr>
          <w:rFonts w:ascii="Times New Roman" w:hAnsi="Times New Roman" w:cs="Times New Roman"/>
          <w:sz w:val="28"/>
          <w:szCs w:val="28"/>
        </w:rPr>
        <w:t xml:space="preserve"> году - 5 </w:t>
      </w:r>
      <w:r>
        <w:rPr>
          <w:rFonts w:ascii="Times New Roman" w:hAnsi="Times New Roman" w:cs="Times New Roman"/>
          <w:sz w:val="28"/>
          <w:szCs w:val="28"/>
        </w:rPr>
        <w:t>7</w:t>
      </w:r>
      <w:r w:rsidRPr="00A85BFF">
        <w:rPr>
          <w:rFonts w:ascii="Times New Roman" w:hAnsi="Times New Roman" w:cs="Times New Roman"/>
          <w:sz w:val="28"/>
          <w:szCs w:val="28"/>
        </w:rPr>
        <w:t>8</w:t>
      </w:r>
      <w:r>
        <w:rPr>
          <w:rFonts w:ascii="Times New Roman" w:hAnsi="Times New Roman" w:cs="Times New Roman"/>
          <w:sz w:val="28"/>
          <w:szCs w:val="28"/>
        </w:rPr>
        <w:t>1</w:t>
      </w:r>
      <w:r w:rsidRPr="00A85BFF">
        <w:rPr>
          <w:rFonts w:ascii="Times New Roman" w:hAnsi="Times New Roman" w:cs="Times New Roman"/>
          <w:sz w:val="28"/>
          <w:szCs w:val="28"/>
        </w:rPr>
        <w:t xml:space="preserve"> обращени</w:t>
      </w:r>
      <w:r>
        <w:rPr>
          <w:rFonts w:ascii="Times New Roman" w:hAnsi="Times New Roman" w:cs="Times New Roman"/>
          <w:sz w:val="28"/>
          <w:szCs w:val="28"/>
        </w:rPr>
        <w:t>е.</w:t>
      </w:r>
      <w:r w:rsidRPr="00A85BFF">
        <w:rPr>
          <w:rFonts w:ascii="Times New Roman" w:hAnsi="Times New Roman" w:cs="Times New Roman"/>
          <w:sz w:val="28"/>
          <w:szCs w:val="28"/>
        </w:rPr>
        <w:t xml:space="preserve"> </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своих обращениях граждане и представители организаций затрагивали различные вопросы жилищно-коммунального хозяйства, наибольшее их количество касается вопросов о техническом состоянии </w:t>
      </w:r>
      <w:r w:rsidRPr="00A85BFF">
        <w:rPr>
          <w:rFonts w:ascii="Times New Roman" w:hAnsi="Times New Roman" w:cs="Times New Roman"/>
          <w:sz w:val="28"/>
          <w:szCs w:val="28"/>
        </w:rPr>
        <w:lastRenderedPageBreak/>
        <w:t>жилищного фонда, о предоставлении коммунальных услуг ненадлежащего качества, об оплате за жилищно-коммунальные услуги.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Для полного и всестороннего рассмотрения обращений граждан государственная жилищная инспекция Брянской области проводит плановые, внеплановые, выездные и документарные проверки.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Анализ практики проведения проверок, проводимых государственной жилищной инспекцией Брянской области в части соблюдения требований, предъявляемых к содержанию и ремонту жилищного фонда, в том числе общего имущества собственников помещений в многоквартирном доме, а также анализ поступающих обращений показывает, что значительная часть жилищного фонда нуждается в проведении капитального ремонта.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Организациями, осуществляющими управление многоквартирными домами, не всегда обеспечивается надлежащее содержание и ремонт общего имущества в многоквартирных домах, а также предоставление жителям коммунальных услуг, отвечающих установленным требованиям.</w:t>
      </w:r>
    </w:p>
    <w:p w:rsidR="00E15D8C" w:rsidRPr="005D456A" w:rsidRDefault="001A522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hyperlink r:id="rId28" w:history="1">
        <w:r w:rsidR="00E15D8C" w:rsidRPr="005D456A">
          <w:rPr>
            <w:rFonts w:ascii="Times New Roman" w:hAnsi="Times New Roman" w:cs="Times New Roman"/>
            <w:sz w:val="28"/>
            <w:szCs w:val="28"/>
          </w:rPr>
          <w:t>Жилищный кодекс</w:t>
        </w:r>
      </w:hyperlink>
      <w:r w:rsidR="00E15D8C" w:rsidRPr="005D456A">
        <w:rPr>
          <w:rFonts w:ascii="Times New Roman" w:hAnsi="Times New Roman" w:cs="Times New Roman"/>
          <w:sz w:val="28"/>
          <w:szCs w:val="28"/>
        </w:rPr>
        <w:t xml:space="preserve"> Российской Федерации обязал управляющие организации обеспечить свободный доступ к информации, касающейся деятельности по управлению многоквартирными домами.</w:t>
      </w:r>
    </w:p>
    <w:p w:rsidR="00E15D8C" w:rsidRPr="00B31AB8"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5D456A">
        <w:rPr>
          <w:rFonts w:ascii="Times New Roman" w:hAnsi="Times New Roman" w:cs="Times New Roman"/>
          <w:sz w:val="28"/>
          <w:szCs w:val="28"/>
        </w:rPr>
        <w:t xml:space="preserve">В соответствии с </w:t>
      </w:r>
      <w:hyperlink r:id="rId29" w:history="1">
        <w:r w:rsidRPr="005D456A">
          <w:rPr>
            <w:rFonts w:ascii="Times New Roman" w:hAnsi="Times New Roman" w:cs="Times New Roman"/>
            <w:sz w:val="28"/>
            <w:szCs w:val="28"/>
          </w:rPr>
          <w:t>пунктом 11 части 3 статьи 7</w:t>
        </w:r>
      </w:hyperlink>
      <w:r w:rsidRPr="005D456A">
        <w:rPr>
          <w:rFonts w:ascii="Times New Roman" w:hAnsi="Times New Roman" w:cs="Times New Roman"/>
          <w:sz w:val="28"/>
          <w:szCs w:val="28"/>
        </w:rPr>
        <w:t xml:space="preserve"> Федерального закона от 21.07.2014 N 209-ФЗ </w:t>
      </w:r>
      <w:hyperlink r:id="rId30" w:history="1">
        <w:r w:rsidRPr="005D456A">
          <w:rPr>
            <w:rFonts w:ascii="Times New Roman" w:hAnsi="Times New Roman" w:cs="Times New Roman"/>
            <w:sz w:val="28"/>
            <w:szCs w:val="28"/>
          </w:rPr>
          <w:t>Приказ</w:t>
        </w:r>
      </w:hyperlink>
      <w:r w:rsidRPr="00A85BFF">
        <w:rPr>
          <w:rFonts w:ascii="Times New Roman" w:hAnsi="Times New Roman" w:cs="Times New Roman"/>
          <w:sz w:val="28"/>
          <w:szCs w:val="28"/>
        </w:rPr>
        <w:t xml:space="preserve"> Министерства связи и массовых коммуникаций РФ и Министерства строительства и жилищно-коммунального хозяйства РФ от 30.12.2014 N 504/934/пр "Об определении официального сайта государственной информационной системы жилищно-коммунального хозяйства в информационно-телекоммуникационной сети "Интернет" определил адрес официального сайта государственной информационной системы жилищно-коммунального хозяйства в информационно-телекоммуникационной сети "Интернет" (</w:t>
      </w:r>
      <w:hyperlink r:id="rId31" w:history="1">
        <w:r w:rsidRPr="00B31AB8">
          <w:rPr>
            <w:rFonts w:ascii="Times New Roman" w:hAnsi="Times New Roman" w:cs="Times New Roman"/>
            <w:sz w:val="28"/>
            <w:szCs w:val="28"/>
          </w:rPr>
          <w:t>dom.gosuslugi.ru</w:t>
        </w:r>
      </w:hyperlink>
      <w:r w:rsidRPr="00B31AB8">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B31AB8">
        <w:rPr>
          <w:rFonts w:ascii="Times New Roman" w:hAnsi="Times New Roman" w:cs="Times New Roman"/>
          <w:sz w:val="28"/>
          <w:szCs w:val="28"/>
        </w:rPr>
        <w:t xml:space="preserve">В соответствии с </w:t>
      </w:r>
      <w:hyperlink r:id="rId32" w:history="1">
        <w:r w:rsidRPr="00B31AB8">
          <w:rPr>
            <w:rFonts w:ascii="Times New Roman" w:hAnsi="Times New Roman" w:cs="Times New Roman"/>
            <w:sz w:val="28"/>
            <w:szCs w:val="28"/>
          </w:rPr>
          <w:t>частью 4 статьи 12</w:t>
        </w:r>
      </w:hyperlink>
      <w:r w:rsidRPr="00A85BFF">
        <w:rPr>
          <w:rFonts w:ascii="Times New Roman" w:hAnsi="Times New Roman" w:cs="Times New Roman"/>
          <w:sz w:val="28"/>
          <w:szCs w:val="28"/>
        </w:rPr>
        <w:t xml:space="preserve"> Федерального закона от 21.07.2014 N 209-ФЗ "О государственной информационной системе жилищно-коммунального хозяйства" поставщики информации (субъекты, размещающие информацию в системе) обязаны размещать в системе информацию, предусмотренную настоящим Федеральным законом с 01.07.2017. В случае если законодательством РФ для поставщиков информации установлен более ранний срок размещения информации в системе, поставщики обязаны размещать ее в ГИС ЖКХ в сроки, предусмотренные законодательством.</w:t>
      </w:r>
    </w:p>
    <w:p w:rsidR="00E15D8C" w:rsidRPr="00B31AB8"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Действующим законодательством РФ для управляющих организаций как отдельных субъектов лицензируемой предпринимательской деятельности в соответствии с </w:t>
      </w:r>
      <w:hyperlink r:id="rId33" w:history="1">
        <w:r w:rsidRPr="00B31AB8">
          <w:rPr>
            <w:rFonts w:ascii="Times New Roman" w:hAnsi="Times New Roman" w:cs="Times New Roman"/>
            <w:sz w:val="28"/>
            <w:szCs w:val="28"/>
          </w:rPr>
          <w:t>частью 3 статьи</w:t>
        </w:r>
        <w:r w:rsidRPr="00A85BFF">
          <w:rPr>
            <w:rFonts w:ascii="Times New Roman" w:hAnsi="Times New Roman" w:cs="Times New Roman"/>
            <w:color w:val="106BBE"/>
            <w:sz w:val="28"/>
            <w:szCs w:val="28"/>
          </w:rPr>
          <w:t xml:space="preserve"> </w:t>
        </w:r>
        <w:r w:rsidRPr="00FD6025">
          <w:rPr>
            <w:rFonts w:ascii="Times New Roman" w:hAnsi="Times New Roman" w:cs="Times New Roman"/>
            <w:sz w:val="28"/>
            <w:szCs w:val="28"/>
          </w:rPr>
          <w:t>7</w:t>
        </w:r>
      </w:hyperlink>
      <w:r w:rsidRPr="00A85BFF">
        <w:rPr>
          <w:rFonts w:ascii="Times New Roman" w:hAnsi="Times New Roman" w:cs="Times New Roman"/>
          <w:sz w:val="28"/>
          <w:szCs w:val="28"/>
        </w:rPr>
        <w:t xml:space="preserve"> Федерального закона от 21.07.2014 N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установлена обязанность по раскрытию информации, предусмотренной </w:t>
      </w:r>
      <w:hyperlink r:id="rId34" w:history="1">
        <w:r w:rsidRPr="00B31AB8">
          <w:rPr>
            <w:rFonts w:ascii="Times New Roman" w:hAnsi="Times New Roman" w:cs="Times New Roman"/>
            <w:sz w:val="28"/>
            <w:szCs w:val="28"/>
          </w:rPr>
          <w:t>статьями 195</w:t>
        </w:r>
      </w:hyperlink>
      <w:r w:rsidRPr="00B31AB8">
        <w:rPr>
          <w:rFonts w:ascii="Times New Roman" w:hAnsi="Times New Roman" w:cs="Times New Roman"/>
          <w:sz w:val="28"/>
          <w:szCs w:val="28"/>
        </w:rPr>
        <w:t xml:space="preserve"> и </w:t>
      </w:r>
      <w:hyperlink r:id="rId35" w:history="1">
        <w:r w:rsidRPr="00B31AB8">
          <w:rPr>
            <w:rFonts w:ascii="Times New Roman" w:hAnsi="Times New Roman" w:cs="Times New Roman"/>
            <w:sz w:val="28"/>
            <w:szCs w:val="28"/>
          </w:rPr>
          <w:t>198</w:t>
        </w:r>
      </w:hyperlink>
      <w:r w:rsidRPr="00B31AB8">
        <w:rPr>
          <w:rFonts w:ascii="Times New Roman" w:hAnsi="Times New Roman" w:cs="Times New Roman"/>
          <w:sz w:val="28"/>
          <w:szCs w:val="28"/>
        </w:rPr>
        <w:t xml:space="preserve"> Жилищного кодекса РФ.</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Информация, указанная в </w:t>
      </w:r>
      <w:hyperlink r:id="rId36" w:history="1">
        <w:r w:rsidRPr="00B31AB8">
          <w:rPr>
            <w:rFonts w:ascii="Times New Roman" w:hAnsi="Times New Roman" w:cs="Times New Roman"/>
            <w:sz w:val="28"/>
            <w:szCs w:val="28"/>
          </w:rPr>
          <w:t>статье 198</w:t>
        </w:r>
      </w:hyperlink>
      <w:r w:rsidRPr="00A85BFF">
        <w:rPr>
          <w:rFonts w:ascii="Times New Roman" w:hAnsi="Times New Roman" w:cs="Times New Roman"/>
          <w:sz w:val="28"/>
          <w:szCs w:val="28"/>
        </w:rPr>
        <w:t xml:space="preserve"> Жилищного кодекса РФ, </w:t>
      </w:r>
      <w:r w:rsidRPr="00A85BFF">
        <w:rPr>
          <w:rFonts w:ascii="Times New Roman" w:hAnsi="Times New Roman" w:cs="Times New Roman"/>
          <w:sz w:val="28"/>
          <w:szCs w:val="28"/>
        </w:rPr>
        <w:lastRenderedPageBreak/>
        <w:t>подлежит размещению в определенной федеральным законом государственной информационной системе жилищно-коммунального хозяйства с 1 августа 2015 года (</w:t>
      </w:r>
      <w:hyperlink r:id="rId37" w:history="1">
        <w:r w:rsidRPr="00B31AB8">
          <w:rPr>
            <w:rFonts w:ascii="Times New Roman" w:hAnsi="Times New Roman" w:cs="Times New Roman"/>
            <w:sz w:val="28"/>
            <w:szCs w:val="28"/>
          </w:rPr>
          <w:t>часть 3 статьи 7</w:t>
        </w:r>
      </w:hyperlink>
      <w:r w:rsidRPr="00A85BFF">
        <w:rPr>
          <w:rFonts w:ascii="Times New Roman" w:hAnsi="Times New Roman" w:cs="Times New Roman"/>
          <w:sz w:val="28"/>
          <w:szCs w:val="28"/>
        </w:rPr>
        <w:t xml:space="preserve"> в редакции </w:t>
      </w:r>
      <w:hyperlink r:id="rId38" w:history="1">
        <w:r w:rsidRPr="00B31AB8">
          <w:rPr>
            <w:rFonts w:ascii="Times New Roman" w:hAnsi="Times New Roman" w:cs="Times New Roman"/>
            <w:sz w:val="28"/>
            <w:szCs w:val="28"/>
          </w:rPr>
          <w:t>Федерального закона</w:t>
        </w:r>
      </w:hyperlink>
      <w:r w:rsidRPr="00A85BFF">
        <w:rPr>
          <w:rFonts w:ascii="Times New Roman" w:hAnsi="Times New Roman" w:cs="Times New Roman"/>
          <w:sz w:val="28"/>
          <w:szCs w:val="28"/>
        </w:rPr>
        <w:t xml:space="preserve"> от 29 июня 2015 года N 176-ФЗ "О внесении изменений в Жилищный кодекс Российской Федерации и отдельные законодательные акты Российской Федерации).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Данные о деятельности управляющей организации, которые необходимо публиковать, весьма обширны. Компания постоянно должна их обновлять. При условии добросовестного раскрытия информации компаниями потребители (настоящие и потенциальные) и иные заинтересованные лица получат исчерпывающую информацию об управляющих организациях.</w:t>
      </w:r>
    </w:p>
    <w:p w:rsidR="00E15D8C" w:rsidRPr="00B31AB8" w:rsidRDefault="001A522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hyperlink r:id="rId39" w:history="1">
        <w:r w:rsidR="00E15D8C" w:rsidRPr="00B31AB8">
          <w:rPr>
            <w:rFonts w:ascii="Times New Roman" w:hAnsi="Times New Roman" w:cs="Times New Roman"/>
            <w:sz w:val="28"/>
            <w:szCs w:val="28"/>
          </w:rPr>
          <w:t>Федеральным законом</w:t>
        </w:r>
      </w:hyperlink>
      <w:r w:rsidR="00E15D8C" w:rsidRPr="00B31AB8">
        <w:rPr>
          <w:rFonts w:ascii="Times New Roman" w:hAnsi="Times New Roman" w:cs="Times New Roman"/>
          <w:sz w:val="28"/>
          <w:szCs w:val="28"/>
        </w:rPr>
        <w:t xml:space="preserve"> от 28 декабря 2017 г. N 437-ФЗ "О внесении изменений в Кодекс Российской Федерации об административных правонарушениях" в </w:t>
      </w:r>
      <w:hyperlink r:id="rId40" w:history="1">
        <w:r w:rsidR="00E15D8C" w:rsidRPr="00B31AB8">
          <w:rPr>
            <w:rFonts w:ascii="Times New Roman" w:hAnsi="Times New Roman" w:cs="Times New Roman"/>
            <w:sz w:val="28"/>
            <w:szCs w:val="28"/>
          </w:rPr>
          <w:t>статью 13.19.2</w:t>
        </w:r>
      </w:hyperlink>
      <w:r w:rsidR="00E15D8C" w:rsidRPr="00B31AB8">
        <w:rPr>
          <w:rFonts w:ascii="Times New Roman" w:hAnsi="Times New Roman" w:cs="Times New Roman"/>
          <w:sz w:val="28"/>
          <w:szCs w:val="28"/>
        </w:rPr>
        <w:t xml:space="preserve"> КоАП РФ внесены изменения, вступившие в силу с 1 января 2018 г.</w:t>
      </w:r>
    </w:p>
    <w:p w:rsidR="00E15D8C" w:rsidRPr="00B31AB8"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B31AB8">
        <w:rPr>
          <w:rFonts w:ascii="Times New Roman" w:hAnsi="Times New Roman" w:cs="Times New Roman"/>
          <w:sz w:val="28"/>
          <w:szCs w:val="28"/>
        </w:rPr>
        <w:t xml:space="preserve">За не размещение информации в соответствии с законодательством Российской Федерации в государственной информационной системе жилищно-коммунального хозяйства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размещение заведомо искаженной информации предусмотрена административная ответственность по </w:t>
      </w:r>
      <w:hyperlink r:id="rId41" w:history="1">
        <w:r w:rsidRPr="00B31AB8">
          <w:rPr>
            <w:rFonts w:ascii="Times New Roman" w:hAnsi="Times New Roman" w:cs="Times New Roman"/>
            <w:sz w:val="28"/>
            <w:szCs w:val="28"/>
          </w:rPr>
          <w:t>статье 13.19.2</w:t>
        </w:r>
      </w:hyperlink>
      <w:r w:rsidRPr="00B31AB8">
        <w:rPr>
          <w:rFonts w:ascii="Times New Roman" w:hAnsi="Times New Roman" w:cs="Times New Roman"/>
          <w:sz w:val="28"/>
          <w:szCs w:val="28"/>
        </w:rPr>
        <w:t xml:space="preserve"> КоАП РФ.</w:t>
      </w:r>
    </w:p>
    <w:p w:rsidR="00E15D8C" w:rsidRPr="00B31AB8" w:rsidRDefault="001A522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hyperlink r:id="rId42" w:history="1">
        <w:r w:rsidR="00E15D8C" w:rsidRPr="00B31AB8">
          <w:rPr>
            <w:rFonts w:ascii="Times New Roman" w:hAnsi="Times New Roman" w:cs="Times New Roman"/>
            <w:sz w:val="28"/>
            <w:szCs w:val="28"/>
          </w:rPr>
          <w:t>Статьей 7.23.3</w:t>
        </w:r>
      </w:hyperlink>
      <w:r w:rsidR="00E15D8C" w:rsidRPr="00B31AB8">
        <w:rPr>
          <w:rFonts w:ascii="Times New Roman" w:hAnsi="Times New Roman" w:cs="Times New Roman"/>
          <w:sz w:val="28"/>
          <w:szCs w:val="28"/>
        </w:rPr>
        <w:t xml:space="preserve"> КоАП РФ предусмотрена административная ответственность за нарушение правил осуществления предпринимательской деятельности по управлению многоквартирными домами.</w:t>
      </w:r>
    </w:p>
    <w:p w:rsidR="00E15D8C" w:rsidRPr="00B31AB8"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B31AB8">
        <w:rPr>
          <w:rFonts w:ascii="Times New Roman" w:hAnsi="Times New Roman" w:cs="Times New Roman"/>
          <w:sz w:val="28"/>
          <w:szCs w:val="28"/>
        </w:rPr>
        <w:t xml:space="preserve">В 2011 году внесены изменения в </w:t>
      </w:r>
      <w:hyperlink r:id="rId43" w:history="1">
        <w:r w:rsidRPr="00B31AB8">
          <w:rPr>
            <w:rFonts w:ascii="Times New Roman" w:hAnsi="Times New Roman" w:cs="Times New Roman"/>
            <w:sz w:val="28"/>
            <w:szCs w:val="28"/>
          </w:rPr>
          <w:t>статью 20</w:t>
        </w:r>
      </w:hyperlink>
      <w:r w:rsidRPr="00B31AB8">
        <w:rPr>
          <w:rFonts w:ascii="Times New Roman" w:hAnsi="Times New Roman" w:cs="Times New Roman"/>
          <w:sz w:val="28"/>
          <w:szCs w:val="28"/>
        </w:rPr>
        <w:t xml:space="preserve"> Жилищного кодекса Российской Федерации, на органы регионального государственного жилищного надзора возложена обязанность по проведению проверок правомерности принятия решений о создании товариществ собственников жилья, принятия устава и внесенных в устав изменений, а также решений об утверждении общими собраниями собственников помещений в многоквартирных домах условий договоров управления многоквартирными домами и правомерности заключения таких договоров.</w:t>
      </w:r>
    </w:p>
    <w:p w:rsidR="00E15D8C" w:rsidRPr="00B31AB8"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B31AB8">
        <w:rPr>
          <w:rFonts w:ascii="Times New Roman" w:hAnsi="Times New Roman" w:cs="Times New Roman"/>
          <w:sz w:val="28"/>
          <w:szCs w:val="28"/>
        </w:rPr>
        <w:t xml:space="preserve">По результатам проведенных </w:t>
      </w:r>
      <w:r>
        <w:rPr>
          <w:rFonts w:ascii="Times New Roman" w:hAnsi="Times New Roman" w:cs="Times New Roman"/>
          <w:sz w:val="28"/>
          <w:szCs w:val="28"/>
        </w:rPr>
        <w:t>проверок в</w:t>
      </w:r>
      <w:r w:rsidRPr="00B31AB8">
        <w:rPr>
          <w:rFonts w:ascii="Times New Roman" w:hAnsi="Times New Roman" w:cs="Times New Roman"/>
          <w:sz w:val="28"/>
          <w:szCs w:val="28"/>
        </w:rPr>
        <w:t xml:space="preserve"> 201</w:t>
      </w:r>
      <w:r>
        <w:rPr>
          <w:rFonts w:ascii="Times New Roman" w:hAnsi="Times New Roman" w:cs="Times New Roman"/>
          <w:sz w:val="28"/>
          <w:szCs w:val="28"/>
        </w:rPr>
        <w:t>9</w:t>
      </w:r>
      <w:r w:rsidRPr="00B31AB8">
        <w:rPr>
          <w:rFonts w:ascii="Times New Roman" w:hAnsi="Times New Roman" w:cs="Times New Roman"/>
          <w:sz w:val="28"/>
          <w:szCs w:val="28"/>
        </w:rPr>
        <w:t xml:space="preserve"> год</w:t>
      </w:r>
      <w:r>
        <w:rPr>
          <w:rFonts w:ascii="Times New Roman" w:hAnsi="Times New Roman" w:cs="Times New Roman"/>
          <w:sz w:val="28"/>
          <w:szCs w:val="28"/>
        </w:rPr>
        <w:t>у</w:t>
      </w:r>
      <w:r w:rsidRPr="00B31AB8">
        <w:rPr>
          <w:rFonts w:ascii="Times New Roman" w:hAnsi="Times New Roman" w:cs="Times New Roman"/>
          <w:sz w:val="28"/>
          <w:szCs w:val="28"/>
        </w:rPr>
        <w:t xml:space="preserve"> выдано </w:t>
      </w:r>
      <w:r>
        <w:rPr>
          <w:rFonts w:ascii="Times New Roman" w:hAnsi="Times New Roman" w:cs="Times New Roman"/>
          <w:sz w:val="28"/>
          <w:szCs w:val="28"/>
        </w:rPr>
        <w:t>926 актов,</w:t>
      </w:r>
      <w:r w:rsidRPr="00B31AB8">
        <w:rPr>
          <w:rFonts w:ascii="Times New Roman" w:hAnsi="Times New Roman" w:cs="Times New Roman"/>
          <w:sz w:val="28"/>
          <w:szCs w:val="28"/>
        </w:rPr>
        <w:t xml:space="preserve"> предписаний - </w:t>
      </w:r>
      <w:r>
        <w:rPr>
          <w:rFonts w:ascii="Times New Roman" w:hAnsi="Times New Roman" w:cs="Times New Roman"/>
          <w:sz w:val="28"/>
          <w:szCs w:val="28"/>
        </w:rPr>
        <w:t>51</w:t>
      </w:r>
      <w:r w:rsidRPr="00B31AB8">
        <w:rPr>
          <w:rFonts w:ascii="Times New Roman" w:hAnsi="Times New Roman" w:cs="Times New Roman"/>
          <w:sz w:val="28"/>
          <w:szCs w:val="28"/>
        </w:rPr>
        <w:t xml:space="preserve">1, предостережений - </w:t>
      </w:r>
      <w:r>
        <w:rPr>
          <w:rFonts w:ascii="Times New Roman" w:hAnsi="Times New Roman" w:cs="Times New Roman"/>
          <w:sz w:val="28"/>
          <w:szCs w:val="28"/>
        </w:rPr>
        <w:t>895</w:t>
      </w:r>
      <w:r w:rsidRPr="00B31AB8">
        <w:rPr>
          <w:rFonts w:ascii="Times New Roman" w:hAnsi="Times New Roman" w:cs="Times New Roman"/>
          <w:sz w:val="28"/>
          <w:szCs w:val="28"/>
        </w:rPr>
        <w:t xml:space="preserve">, протоколов - </w:t>
      </w:r>
      <w:r>
        <w:rPr>
          <w:rFonts w:ascii="Times New Roman" w:hAnsi="Times New Roman" w:cs="Times New Roman"/>
          <w:sz w:val="28"/>
          <w:szCs w:val="28"/>
        </w:rPr>
        <w:t>265</w:t>
      </w:r>
      <w:r w:rsidRPr="00B31AB8">
        <w:rPr>
          <w:rFonts w:ascii="Times New Roman" w:hAnsi="Times New Roman" w:cs="Times New Roman"/>
          <w:sz w:val="28"/>
          <w:szCs w:val="28"/>
        </w:rPr>
        <w:t>.</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B31AB8">
        <w:rPr>
          <w:rFonts w:ascii="Times New Roman" w:hAnsi="Times New Roman" w:cs="Times New Roman"/>
          <w:sz w:val="28"/>
          <w:szCs w:val="28"/>
        </w:rPr>
        <w:t xml:space="preserve">На основании </w:t>
      </w:r>
      <w:hyperlink r:id="rId44" w:history="1">
        <w:r w:rsidRPr="00B31AB8">
          <w:rPr>
            <w:rFonts w:ascii="Times New Roman" w:hAnsi="Times New Roman" w:cs="Times New Roman"/>
            <w:sz w:val="28"/>
            <w:szCs w:val="28"/>
          </w:rPr>
          <w:t>ч. 1 ст. 23.55</w:t>
        </w:r>
      </w:hyperlink>
      <w:r w:rsidRPr="00A85BFF">
        <w:rPr>
          <w:rFonts w:ascii="Times New Roman" w:hAnsi="Times New Roman" w:cs="Times New Roman"/>
          <w:sz w:val="28"/>
          <w:szCs w:val="28"/>
        </w:rPr>
        <w:t xml:space="preserve"> КоАП РФ государственная жилищная инспекция Брянской области является уполномоченным органом Брянской области на рассмотрение дел об административных правонарушениях.</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Инспекцией </w:t>
      </w:r>
      <w:r>
        <w:rPr>
          <w:rFonts w:ascii="Times New Roman" w:hAnsi="Times New Roman" w:cs="Times New Roman"/>
          <w:sz w:val="28"/>
          <w:szCs w:val="28"/>
        </w:rPr>
        <w:t>в 2019</w:t>
      </w:r>
      <w:r w:rsidRPr="00A85BFF">
        <w:rPr>
          <w:rFonts w:ascii="Times New Roman" w:hAnsi="Times New Roman" w:cs="Times New Roman"/>
          <w:sz w:val="28"/>
          <w:szCs w:val="28"/>
        </w:rPr>
        <w:t xml:space="preserve"> год</w:t>
      </w:r>
      <w:r>
        <w:rPr>
          <w:rFonts w:ascii="Times New Roman" w:hAnsi="Times New Roman" w:cs="Times New Roman"/>
          <w:sz w:val="28"/>
          <w:szCs w:val="28"/>
        </w:rPr>
        <w:t>у</w:t>
      </w:r>
      <w:r w:rsidRPr="00A85BFF">
        <w:rPr>
          <w:rFonts w:ascii="Times New Roman" w:hAnsi="Times New Roman" w:cs="Times New Roman"/>
          <w:sz w:val="28"/>
          <w:szCs w:val="28"/>
        </w:rPr>
        <w:t xml:space="preserve"> рассмотрено </w:t>
      </w:r>
      <w:r>
        <w:rPr>
          <w:rFonts w:ascii="Times New Roman" w:hAnsi="Times New Roman" w:cs="Times New Roman"/>
          <w:sz w:val="28"/>
          <w:szCs w:val="28"/>
        </w:rPr>
        <w:t>187</w:t>
      </w:r>
      <w:r w:rsidRPr="00A85BFF">
        <w:rPr>
          <w:rFonts w:ascii="Times New Roman" w:hAnsi="Times New Roman" w:cs="Times New Roman"/>
          <w:sz w:val="28"/>
          <w:szCs w:val="28"/>
        </w:rPr>
        <w:t xml:space="preserve"> дел об административных правонарушениях. Помимо привлечения виновных лиц к административной ответственности, при выявлении нарушений в ходе проверок выдаются предписания об их устранении. По результатам проведенных по состоянию на 1 </w:t>
      </w:r>
      <w:r>
        <w:rPr>
          <w:rFonts w:ascii="Times New Roman" w:hAnsi="Times New Roman" w:cs="Times New Roman"/>
          <w:sz w:val="28"/>
          <w:szCs w:val="28"/>
        </w:rPr>
        <w:t>янва</w:t>
      </w:r>
      <w:r w:rsidRPr="00A85BFF">
        <w:rPr>
          <w:rFonts w:ascii="Times New Roman" w:hAnsi="Times New Roman" w:cs="Times New Roman"/>
          <w:sz w:val="28"/>
          <w:szCs w:val="28"/>
        </w:rPr>
        <w:t>ря 20</w:t>
      </w:r>
      <w:r>
        <w:rPr>
          <w:rFonts w:ascii="Times New Roman" w:hAnsi="Times New Roman" w:cs="Times New Roman"/>
          <w:sz w:val="28"/>
          <w:szCs w:val="28"/>
        </w:rPr>
        <w:t>20</w:t>
      </w:r>
      <w:r w:rsidRPr="00A85BFF">
        <w:rPr>
          <w:rFonts w:ascii="Times New Roman" w:hAnsi="Times New Roman" w:cs="Times New Roman"/>
          <w:sz w:val="28"/>
          <w:szCs w:val="28"/>
        </w:rPr>
        <w:t xml:space="preserve"> года плановых, внеплановых, выездных и документарных проверок выдано </w:t>
      </w:r>
      <w:r>
        <w:rPr>
          <w:rFonts w:ascii="Times New Roman" w:hAnsi="Times New Roman" w:cs="Times New Roman"/>
          <w:sz w:val="28"/>
          <w:szCs w:val="28"/>
        </w:rPr>
        <w:t>51</w:t>
      </w:r>
      <w:r w:rsidRPr="00A85BFF">
        <w:rPr>
          <w:rFonts w:ascii="Times New Roman" w:hAnsi="Times New Roman" w:cs="Times New Roman"/>
          <w:sz w:val="28"/>
          <w:szCs w:val="28"/>
        </w:rPr>
        <w:t>1 предписание об устранении выявленных нарушений.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lastRenderedPageBreak/>
        <w:t xml:space="preserve">В результате осуществления контроля выполнения предписаний установлено, что исполнено </w:t>
      </w:r>
      <w:r>
        <w:rPr>
          <w:rFonts w:ascii="Times New Roman" w:hAnsi="Times New Roman" w:cs="Times New Roman"/>
          <w:sz w:val="28"/>
          <w:szCs w:val="28"/>
        </w:rPr>
        <w:t>503</w:t>
      </w:r>
      <w:r w:rsidRPr="00A85BFF">
        <w:rPr>
          <w:rFonts w:ascii="Times New Roman" w:hAnsi="Times New Roman" w:cs="Times New Roman"/>
          <w:sz w:val="28"/>
          <w:szCs w:val="28"/>
        </w:rPr>
        <w:t xml:space="preserve"> предписани</w:t>
      </w:r>
      <w:r>
        <w:rPr>
          <w:rFonts w:ascii="Times New Roman" w:hAnsi="Times New Roman" w:cs="Times New Roman"/>
          <w:sz w:val="28"/>
          <w:szCs w:val="28"/>
        </w:rPr>
        <w:t>я</w:t>
      </w:r>
      <w:r w:rsidRPr="00A85BFF">
        <w:rPr>
          <w:rFonts w:ascii="Times New Roman" w:hAnsi="Times New Roman" w:cs="Times New Roman"/>
          <w:sz w:val="28"/>
          <w:szCs w:val="28"/>
        </w:rPr>
        <w:t>, или 9</w:t>
      </w:r>
      <w:r>
        <w:rPr>
          <w:rFonts w:ascii="Times New Roman" w:hAnsi="Times New Roman" w:cs="Times New Roman"/>
          <w:sz w:val="28"/>
          <w:szCs w:val="28"/>
        </w:rPr>
        <w:t>8,4</w:t>
      </w:r>
      <w:r w:rsidRPr="00A85BFF">
        <w:rPr>
          <w:rFonts w:ascii="Times New Roman" w:hAnsi="Times New Roman" w:cs="Times New Roman"/>
          <w:sz w:val="28"/>
          <w:szCs w:val="28"/>
        </w:rPr>
        <w:t>% от выданных предписаний. По невыполненным предписаниям сотрудниками инспекции составлены протоколы об административных правонарушениях и материалы проверок направлены для рассмотрения в мировые суды, кроме того в суды общей юрисдикции были направлены материалы о понуждении управляющих компаний к исполнению предписаний должностных лиц жилищной инспекции.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Жилищной инспекцией Брянской области составлены протоколы об административных правонарушениях </w:t>
      </w:r>
      <w:r w:rsidRPr="00B31AB8">
        <w:rPr>
          <w:rFonts w:ascii="Times New Roman" w:hAnsi="Times New Roman" w:cs="Times New Roman"/>
          <w:sz w:val="28"/>
          <w:szCs w:val="28"/>
        </w:rPr>
        <w:t xml:space="preserve">по </w:t>
      </w:r>
      <w:hyperlink r:id="rId45" w:history="1">
        <w:r w:rsidRPr="00B31AB8">
          <w:rPr>
            <w:rFonts w:ascii="Times New Roman" w:hAnsi="Times New Roman" w:cs="Times New Roman"/>
            <w:sz w:val="28"/>
            <w:szCs w:val="28"/>
          </w:rPr>
          <w:t>ч. 1 ст. 7.23</w:t>
        </w:r>
      </w:hyperlink>
      <w:r w:rsidRPr="00B31AB8">
        <w:rPr>
          <w:rFonts w:ascii="Times New Roman" w:hAnsi="Times New Roman" w:cs="Times New Roman"/>
          <w:sz w:val="28"/>
          <w:szCs w:val="28"/>
        </w:rPr>
        <w:t xml:space="preserve"> КоАП РФ за нарушение правил осуществления предпринимательской деятельности по управлению многоквартирными домами, по </w:t>
      </w:r>
      <w:hyperlink r:id="rId46" w:history="1">
        <w:r w:rsidRPr="00B31AB8">
          <w:rPr>
            <w:rFonts w:ascii="Times New Roman" w:hAnsi="Times New Roman" w:cs="Times New Roman"/>
            <w:sz w:val="28"/>
            <w:szCs w:val="28"/>
          </w:rPr>
          <w:t>ч. 2 ст. 14.1.3</w:t>
        </w:r>
      </w:hyperlink>
      <w:r w:rsidRPr="00B31AB8">
        <w:rPr>
          <w:rFonts w:ascii="Times New Roman" w:hAnsi="Times New Roman" w:cs="Times New Roman"/>
          <w:sz w:val="28"/>
          <w:szCs w:val="28"/>
        </w:rPr>
        <w:t xml:space="preserve"> КоАП РФ "Нарушение лицензионных требований при осуществлении предпринимательской деятельности по управлению МКД за нарушения в части раскрытия стандарта информации", по </w:t>
      </w:r>
      <w:hyperlink r:id="rId47" w:history="1">
        <w:r w:rsidRPr="00B31AB8">
          <w:rPr>
            <w:rFonts w:ascii="Times New Roman" w:hAnsi="Times New Roman" w:cs="Times New Roman"/>
            <w:sz w:val="28"/>
            <w:szCs w:val="28"/>
          </w:rPr>
          <w:t>ч. 1 ст. 13.19.2</w:t>
        </w:r>
      </w:hyperlink>
      <w:r w:rsidRPr="00B31AB8">
        <w:rPr>
          <w:rFonts w:ascii="Times New Roman" w:hAnsi="Times New Roman" w:cs="Times New Roman"/>
          <w:sz w:val="28"/>
          <w:szCs w:val="28"/>
        </w:rPr>
        <w:t xml:space="preserve"> КоАП </w:t>
      </w:r>
      <w:r w:rsidRPr="00A85BFF">
        <w:rPr>
          <w:rFonts w:ascii="Times New Roman" w:hAnsi="Times New Roman" w:cs="Times New Roman"/>
          <w:sz w:val="28"/>
          <w:szCs w:val="28"/>
        </w:rPr>
        <w:t>РФ "Нарушение порядка размещения информации в государственной информационной системе жилищно-коммунального хозяйства".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По результатам рассмотрений материалов вынесены постановления о назначении административного наказания в виде штрафа на сумму </w:t>
      </w:r>
      <w:r>
        <w:rPr>
          <w:rFonts w:ascii="Times New Roman" w:hAnsi="Times New Roman" w:cs="Times New Roman"/>
          <w:sz w:val="28"/>
          <w:szCs w:val="28"/>
        </w:rPr>
        <w:t>6961,6</w:t>
      </w:r>
      <w:r w:rsidRPr="00A85BFF">
        <w:rPr>
          <w:rFonts w:ascii="Times New Roman" w:hAnsi="Times New Roman" w:cs="Times New Roman"/>
          <w:sz w:val="28"/>
          <w:szCs w:val="28"/>
        </w:rPr>
        <w:t> тыс. рубля.</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Согласно </w:t>
      </w:r>
      <w:hyperlink r:id="rId48" w:history="1">
        <w:r w:rsidRPr="00B31AB8">
          <w:rPr>
            <w:rFonts w:ascii="Times New Roman" w:hAnsi="Times New Roman" w:cs="Times New Roman"/>
            <w:sz w:val="28"/>
            <w:szCs w:val="28"/>
          </w:rPr>
          <w:t>Федеральному закону</w:t>
        </w:r>
      </w:hyperlink>
      <w:r w:rsidRPr="00A85BFF">
        <w:rPr>
          <w:rFonts w:ascii="Times New Roman" w:hAnsi="Times New Roman" w:cs="Times New Roman"/>
          <w:sz w:val="28"/>
          <w:szCs w:val="28"/>
        </w:rPr>
        <w:t xml:space="preserve"> от 21 июля 2014 года N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на органы государственного надзора возложены полномочия по лицензированию предпринимательской деятельности по управлению многоквартирными домами и осуществлению лицензионного контроля за данным видом деятельности.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Целью принятия данного закона было повышение ответственности управляющих организаций перед населением и ужесточение контроля за деятельностью компаний со стороны надзорных органов.</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Выдача лицензий согласно нормам принятого закона осуществляется государственной жилищной инспекцией Брянской области на основании решения созданной в Брянской области лицензионной комиссии. </w:t>
      </w:r>
      <w:hyperlink r:id="rId49" w:history="1">
        <w:r w:rsidRPr="00FD6025">
          <w:rPr>
            <w:rFonts w:ascii="Times New Roman" w:hAnsi="Times New Roman" w:cs="Times New Roman"/>
            <w:sz w:val="28"/>
            <w:szCs w:val="28"/>
          </w:rPr>
          <w:t>Указом</w:t>
        </w:r>
      </w:hyperlink>
      <w:r w:rsidRPr="00FD6025">
        <w:rPr>
          <w:rFonts w:ascii="Times New Roman" w:hAnsi="Times New Roman" w:cs="Times New Roman"/>
          <w:sz w:val="28"/>
          <w:szCs w:val="28"/>
        </w:rPr>
        <w:t xml:space="preserve"> </w:t>
      </w:r>
      <w:r w:rsidRPr="00A85BFF">
        <w:rPr>
          <w:rFonts w:ascii="Times New Roman" w:hAnsi="Times New Roman" w:cs="Times New Roman"/>
          <w:sz w:val="28"/>
          <w:szCs w:val="28"/>
        </w:rPr>
        <w:t>Губернатора Брянской области от 19.12.2014 N 414 утверждено Положение о лицензионной комиссии Брянской области по лицензированию деятельности по управлению многоквартирными домами, утвержден персональный состав комиссии, в который в последующем вносились изменения.</w:t>
      </w:r>
    </w:p>
    <w:p w:rsidR="00E15D8C" w:rsidRDefault="001A522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hyperlink r:id="rId50" w:history="1">
        <w:r w:rsidR="00E15D8C" w:rsidRPr="00B31AB8">
          <w:rPr>
            <w:rFonts w:ascii="Times New Roman" w:hAnsi="Times New Roman" w:cs="Times New Roman"/>
            <w:sz w:val="28"/>
            <w:szCs w:val="28"/>
          </w:rPr>
          <w:t>Федеральным законом</w:t>
        </w:r>
      </w:hyperlink>
      <w:r w:rsidR="00E15D8C" w:rsidRPr="00B31AB8">
        <w:rPr>
          <w:rFonts w:ascii="Times New Roman" w:hAnsi="Times New Roman" w:cs="Times New Roman"/>
          <w:sz w:val="28"/>
          <w:szCs w:val="28"/>
        </w:rPr>
        <w:t xml:space="preserve"> от 31.12.2017 N 485-ФЗ "О внесении изменений в Жилищный кодекс Российской Федерации и отдельные законодательные акты Российской Федерации" внесены изменения в </w:t>
      </w:r>
      <w:hyperlink r:id="rId51" w:history="1">
        <w:r w:rsidR="00E15D8C" w:rsidRPr="00B31AB8">
          <w:rPr>
            <w:rFonts w:ascii="Times New Roman" w:hAnsi="Times New Roman" w:cs="Times New Roman"/>
            <w:sz w:val="28"/>
            <w:szCs w:val="28"/>
          </w:rPr>
          <w:t>ч. 4 ст. 192</w:t>
        </w:r>
      </w:hyperlink>
      <w:r w:rsidR="00E15D8C" w:rsidRPr="00A85BFF">
        <w:rPr>
          <w:rFonts w:ascii="Times New Roman" w:hAnsi="Times New Roman" w:cs="Times New Roman"/>
          <w:sz w:val="28"/>
          <w:szCs w:val="28"/>
        </w:rPr>
        <w:t xml:space="preserve"> ЖК РФ, согласно которой лицензия предоставляется сроком на пять лет и действует на территории Брянской области. Государственная пошлина за выдачу лицензии установлена в размере 30 тыс. рублей. В 201</w:t>
      </w:r>
      <w:r w:rsidR="00E15D8C">
        <w:rPr>
          <w:rFonts w:ascii="Times New Roman" w:hAnsi="Times New Roman" w:cs="Times New Roman"/>
          <w:sz w:val="28"/>
          <w:szCs w:val="28"/>
        </w:rPr>
        <w:t>9</w:t>
      </w:r>
      <w:r w:rsidR="00E15D8C" w:rsidRPr="00A85BFF">
        <w:rPr>
          <w:rFonts w:ascii="Times New Roman" w:hAnsi="Times New Roman" w:cs="Times New Roman"/>
          <w:sz w:val="28"/>
          <w:szCs w:val="28"/>
        </w:rPr>
        <w:t xml:space="preserve"> году бюджетом Брянской области получена госпошлина на сумму </w:t>
      </w:r>
      <w:r w:rsidR="00E15D8C">
        <w:rPr>
          <w:rFonts w:ascii="Times New Roman" w:hAnsi="Times New Roman" w:cs="Times New Roman"/>
          <w:sz w:val="28"/>
          <w:szCs w:val="28"/>
        </w:rPr>
        <w:t>480</w:t>
      </w:r>
      <w:r w:rsidR="00E15D8C" w:rsidRPr="00A85BFF">
        <w:rPr>
          <w:rFonts w:ascii="Times New Roman" w:hAnsi="Times New Roman" w:cs="Times New Roman"/>
          <w:sz w:val="28"/>
          <w:szCs w:val="28"/>
        </w:rPr>
        <w:t>,0 тыс. рубл</w:t>
      </w:r>
      <w:r w:rsidR="00E15D8C">
        <w:rPr>
          <w:rFonts w:ascii="Times New Roman" w:hAnsi="Times New Roman" w:cs="Times New Roman"/>
          <w:sz w:val="28"/>
          <w:szCs w:val="28"/>
        </w:rPr>
        <w:t>ей.</w:t>
      </w:r>
      <w:r w:rsidR="00E15D8C" w:rsidRPr="00A85BFF">
        <w:rPr>
          <w:rFonts w:ascii="Times New Roman" w:hAnsi="Times New Roman" w:cs="Times New Roman"/>
          <w:sz w:val="28"/>
          <w:szCs w:val="28"/>
        </w:rPr>
        <w:t xml:space="preserve"> </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lastRenderedPageBreak/>
        <w:t>Учитывая, что одним из лицензионных требований является наличие квалификационного аттестата, лицензионной комиссией Брянской области организован прием квалификационных экзаменов у должностных лиц управляющих организаций. К сдаче экзамена допускаются лица, информация о которых не содержится в Реестре дисквалифицированных лиц. За прием экзамена плата не взимается. Квалификационный аттестат выдается на срок 5 лет. После сдачи должностным лицом лицензиата квалификационного экзамена жилищной инспекцией ему выдается квалификационный аттестат.</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Для сдачи квалификационного экзамена в лицензионную комиссию Брянской области поступило </w:t>
      </w:r>
      <w:r>
        <w:rPr>
          <w:rFonts w:ascii="Times New Roman" w:hAnsi="Times New Roman" w:cs="Times New Roman"/>
          <w:sz w:val="28"/>
          <w:szCs w:val="28"/>
        </w:rPr>
        <w:t>602</w:t>
      </w:r>
      <w:r w:rsidRPr="00A85BFF">
        <w:rPr>
          <w:rFonts w:ascii="Times New Roman" w:hAnsi="Times New Roman" w:cs="Times New Roman"/>
          <w:sz w:val="28"/>
          <w:szCs w:val="28"/>
        </w:rPr>
        <w:t xml:space="preserve"> заявлени</w:t>
      </w:r>
      <w:r>
        <w:rPr>
          <w:rFonts w:ascii="Times New Roman" w:hAnsi="Times New Roman" w:cs="Times New Roman"/>
          <w:sz w:val="28"/>
          <w:szCs w:val="28"/>
        </w:rPr>
        <w:t>я</w:t>
      </w:r>
      <w:r w:rsidRPr="00A85BFF">
        <w:rPr>
          <w:rFonts w:ascii="Times New Roman" w:hAnsi="Times New Roman" w:cs="Times New Roman"/>
          <w:sz w:val="28"/>
          <w:szCs w:val="28"/>
        </w:rPr>
        <w:t xml:space="preserve">. По состоянию на 1 </w:t>
      </w:r>
      <w:r>
        <w:rPr>
          <w:rFonts w:ascii="Times New Roman" w:hAnsi="Times New Roman" w:cs="Times New Roman"/>
          <w:sz w:val="28"/>
          <w:szCs w:val="28"/>
        </w:rPr>
        <w:t>января 2020</w:t>
      </w:r>
      <w:r w:rsidRPr="00A85BFF">
        <w:rPr>
          <w:rFonts w:ascii="Times New Roman" w:hAnsi="Times New Roman" w:cs="Times New Roman"/>
          <w:sz w:val="28"/>
          <w:szCs w:val="28"/>
        </w:rPr>
        <w:t xml:space="preserve"> года проведен</w:t>
      </w:r>
      <w:r>
        <w:rPr>
          <w:rFonts w:ascii="Times New Roman" w:hAnsi="Times New Roman" w:cs="Times New Roman"/>
          <w:sz w:val="28"/>
          <w:szCs w:val="28"/>
        </w:rPr>
        <w:t>о 13</w:t>
      </w:r>
      <w:r w:rsidRPr="00A85BFF">
        <w:rPr>
          <w:rFonts w:ascii="Times New Roman" w:hAnsi="Times New Roman" w:cs="Times New Roman"/>
          <w:sz w:val="28"/>
          <w:szCs w:val="28"/>
        </w:rPr>
        <w:t xml:space="preserve"> квалификационны</w:t>
      </w:r>
      <w:r>
        <w:rPr>
          <w:rFonts w:ascii="Times New Roman" w:hAnsi="Times New Roman" w:cs="Times New Roman"/>
          <w:sz w:val="28"/>
          <w:szCs w:val="28"/>
        </w:rPr>
        <w:t>х</w:t>
      </w:r>
      <w:r w:rsidRPr="00A85BFF">
        <w:rPr>
          <w:rFonts w:ascii="Times New Roman" w:hAnsi="Times New Roman" w:cs="Times New Roman"/>
          <w:sz w:val="28"/>
          <w:szCs w:val="28"/>
        </w:rPr>
        <w:t xml:space="preserve"> экзамен</w:t>
      </w:r>
      <w:r>
        <w:rPr>
          <w:rFonts w:ascii="Times New Roman" w:hAnsi="Times New Roman" w:cs="Times New Roman"/>
          <w:sz w:val="28"/>
          <w:szCs w:val="28"/>
        </w:rPr>
        <w:t>ов, 468 претендентов</w:t>
      </w:r>
      <w:r w:rsidRPr="00A85BFF">
        <w:rPr>
          <w:rFonts w:ascii="Times New Roman" w:hAnsi="Times New Roman" w:cs="Times New Roman"/>
          <w:sz w:val="28"/>
          <w:szCs w:val="28"/>
        </w:rPr>
        <w:t xml:space="preserve"> сдали экзамен успешно и получили квалификационный аттестат.</w:t>
      </w:r>
    </w:p>
    <w:p w:rsidR="00E15D8C"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В 201</w:t>
      </w:r>
      <w:r>
        <w:rPr>
          <w:rFonts w:ascii="Times New Roman" w:hAnsi="Times New Roman" w:cs="Times New Roman"/>
          <w:sz w:val="28"/>
          <w:szCs w:val="28"/>
        </w:rPr>
        <w:t>9</w:t>
      </w:r>
      <w:r w:rsidRPr="00A85BFF">
        <w:rPr>
          <w:rFonts w:ascii="Times New Roman" w:hAnsi="Times New Roman" w:cs="Times New Roman"/>
          <w:sz w:val="28"/>
          <w:szCs w:val="28"/>
        </w:rPr>
        <w:t xml:space="preserve"> году было проведено </w:t>
      </w:r>
      <w:r>
        <w:rPr>
          <w:rFonts w:ascii="Times New Roman" w:hAnsi="Times New Roman" w:cs="Times New Roman"/>
          <w:sz w:val="28"/>
          <w:szCs w:val="28"/>
        </w:rPr>
        <w:t>8</w:t>
      </w:r>
      <w:r w:rsidRPr="00A85BFF">
        <w:rPr>
          <w:rFonts w:ascii="Times New Roman" w:hAnsi="Times New Roman" w:cs="Times New Roman"/>
          <w:sz w:val="28"/>
          <w:szCs w:val="28"/>
        </w:rPr>
        <w:t xml:space="preserve"> заседаний лицензионной комиссии Брянской области</w:t>
      </w:r>
      <w:r>
        <w:rPr>
          <w:rFonts w:ascii="Times New Roman" w:hAnsi="Times New Roman" w:cs="Times New Roman"/>
          <w:sz w:val="28"/>
          <w:szCs w:val="28"/>
        </w:rPr>
        <w:t>.</w:t>
      </w:r>
      <w:r w:rsidRPr="00A85BFF">
        <w:rPr>
          <w:rFonts w:ascii="Times New Roman" w:hAnsi="Times New Roman" w:cs="Times New Roman"/>
          <w:sz w:val="28"/>
          <w:szCs w:val="28"/>
        </w:rPr>
        <w:t xml:space="preserve"> </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На заседания комиссии приглашались представители органов местного самоуправления, которые давали характеристику работы компании на территории муниципального образования и руководители управляющих компаний, которыми давались пояснения на вопросы членов комиссии.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Кроме того, на заседании комиссии заслушивались результаты проверок проводимых жилищной инспекцией Брянской области в отношении управляющих организаций, заявившихся на получение лицензии.</w:t>
      </w:r>
    </w:p>
    <w:p w:rsidR="00E15D8C"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По итогам рассмотрения лицензионной комиссией Брянской области за период с апреля 2015 г. по </w:t>
      </w:r>
      <w:r>
        <w:rPr>
          <w:rFonts w:ascii="Times New Roman" w:hAnsi="Times New Roman" w:cs="Times New Roman"/>
          <w:sz w:val="28"/>
          <w:szCs w:val="28"/>
        </w:rPr>
        <w:t>дека</w:t>
      </w:r>
      <w:r w:rsidRPr="00A85BFF">
        <w:rPr>
          <w:rFonts w:ascii="Times New Roman" w:hAnsi="Times New Roman" w:cs="Times New Roman"/>
          <w:sz w:val="28"/>
          <w:szCs w:val="28"/>
        </w:rPr>
        <w:t>брь 201</w:t>
      </w:r>
      <w:r>
        <w:rPr>
          <w:rFonts w:ascii="Times New Roman" w:hAnsi="Times New Roman" w:cs="Times New Roman"/>
          <w:sz w:val="28"/>
          <w:szCs w:val="28"/>
        </w:rPr>
        <w:t>9</w:t>
      </w:r>
      <w:r w:rsidRPr="00A85BFF">
        <w:rPr>
          <w:rFonts w:ascii="Times New Roman" w:hAnsi="Times New Roman" w:cs="Times New Roman"/>
          <w:sz w:val="28"/>
          <w:szCs w:val="28"/>
        </w:rPr>
        <w:t xml:space="preserve"> г. по </w:t>
      </w:r>
      <w:r>
        <w:rPr>
          <w:rFonts w:ascii="Times New Roman" w:hAnsi="Times New Roman" w:cs="Times New Roman"/>
          <w:sz w:val="28"/>
          <w:szCs w:val="28"/>
        </w:rPr>
        <w:t>231</w:t>
      </w:r>
      <w:r w:rsidRPr="00A85BFF">
        <w:rPr>
          <w:rFonts w:ascii="Times New Roman" w:hAnsi="Times New Roman" w:cs="Times New Roman"/>
          <w:sz w:val="28"/>
          <w:szCs w:val="28"/>
        </w:rPr>
        <w:t xml:space="preserve"> управляющ</w:t>
      </w:r>
      <w:r>
        <w:rPr>
          <w:rFonts w:ascii="Times New Roman" w:hAnsi="Times New Roman" w:cs="Times New Roman"/>
          <w:sz w:val="28"/>
          <w:szCs w:val="28"/>
        </w:rPr>
        <w:t>ей</w:t>
      </w:r>
      <w:r w:rsidRPr="00A85BFF">
        <w:rPr>
          <w:rFonts w:ascii="Times New Roman" w:hAnsi="Times New Roman" w:cs="Times New Roman"/>
          <w:sz w:val="28"/>
          <w:szCs w:val="28"/>
        </w:rPr>
        <w:t xml:space="preserve"> организаци</w:t>
      </w:r>
      <w:r>
        <w:rPr>
          <w:rFonts w:ascii="Times New Roman" w:hAnsi="Times New Roman" w:cs="Times New Roman"/>
          <w:sz w:val="28"/>
          <w:szCs w:val="28"/>
        </w:rPr>
        <w:t>и</w:t>
      </w:r>
      <w:r w:rsidRPr="00A85BFF">
        <w:rPr>
          <w:rFonts w:ascii="Times New Roman" w:hAnsi="Times New Roman" w:cs="Times New Roman"/>
          <w:sz w:val="28"/>
          <w:szCs w:val="28"/>
        </w:rPr>
        <w:t xml:space="preserve"> было принято решение о выдаче лицензий на осуществление предпринимательской деятельности по управлению многоквартирными домами.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 настоящее время на территории Брянской области действует 213 лицензий.</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В рамках государственной программы, для реализации мероприятий по переселению граждан из аварийного жилищного фонда, по подготовке объектов жилищно-коммунального хозяйства к зиме, приобретению специализированной техники для предприятий жилищно-коммунального комплекса, в рамках реализации подпрограмм </w:t>
      </w:r>
      <w:hyperlink w:anchor="sub_1100" w:history="1">
        <w:r w:rsidRPr="00894429">
          <w:rPr>
            <w:rFonts w:ascii="Times New Roman" w:hAnsi="Times New Roman" w:cs="Times New Roman"/>
            <w:sz w:val="28"/>
            <w:szCs w:val="28"/>
          </w:rPr>
          <w:t>"Чистая вода"</w:t>
        </w:r>
      </w:hyperlink>
      <w:r w:rsidRPr="00894429">
        <w:rPr>
          <w:rFonts w:ascii="Times New Roman" w:hAnsi="Times New Roman" w:cs="Times New Roman"/>
          <w:sz w:val="28"/>
          <w:szCs w:val="28"/>
        </w:rPr>
        <w:t xml:space="preserve">, </w:t>
      </w:r>
      <w:hyperlink w:anchor="sub_1200" w:history="1">
        <w:r w:rsidRPr="00894429">
          <w:rPr>
            <w:rFonts w:ascii="Times New Roman" w:hAnsi="Times New Roman" w:cs="Times New Roman"/>
            <w:sz w:val="28"/>
            <w:szCs w:val="28"/>
          </w:rPr>
          <w:t>"Строительство и реконструкция очистных сооружений в населенных пунктах Брянской области"</w:t>
        </w:r>
      </w:hyperlink>
      <w:r w:rsidRPr="00A85BFF">
        <w:rPr>
          <w:rFonts w:ascii="Times New Roman" w:hAnsi="Times New Roman" w:cs="Times New Roman"/>
          <w:sz w:val="28"/>
          <w:szCs w:val="28"/>
        </w:rPr>
        <w:t xml:space="preserve"> и проекта "Чистая вода" предусмотрено предоставление субсидий из областного бюджета бюджетам муниципальных образований.</w:t>
      </w:r>
    </w:p>
    <w:p w:rsidR="00E15D8C" w:rsidRPr="00894429"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Порядк</w:t>
      </w:r>
      <w:r>
        <w:rPr>
          <w:rFonts w:ascii="Times New Roman" w:hAnsi="Times New Roman" w:cs="Times New Roman"/>
          <w:sz w:val="28"/>
          <w:szCs w:val="28"/>
        </w:rPr>
        <w:t xml:space="preserve">и и методики </w:t>
      </w:r>
      <w:r w:rsidRPr="00A85BFF">
        <w:rPr>
          <w:rFonts w:ascii="Times New Roman" w:hAnsi="Times New Roman" w:cs="Times New Roman"/>
          <w:sz w:val="28"/>
          <w:szCs w:val="28"/>
        </w:rPr>
        <w:t xml:space="preserve"> предоставления бюджетам муниципальных образований субсидий на </w:t>
      </w:r>
      <w:r>
        <w:rPr>
          <w:rFonts w:ascii="Times New Roman" w:hAnsi="Times New Roman" w:cs="Times New Roman"/>
          <w:sz w:val="28"/>
          <w:szCs w:val="28"/>
        </w:rPr>
        <w:t>реализацию</w:t>
      </w:r>
      <w:r w:rsidRPr="00A85BFF">
        <w:rPr>
          <w:rFonts w:ascii="Times New Roman" w:hAnsi="Times New Roman" w:cs="Times New Roman"/>
          <w:sz w:val="28"/>
          <w:szCs w:val="28"/>
        </w:rPr>
        <w:t xml:space="preserve"> мероприятий </w:t>
      </w:r>
      <w:r>
        <w:rPr>
          <w:rFonts w:ascii="Times New Roman" w:hAnsi="Times New Roman" w:cs="Times New Roman"/>
          <w:sz w:val="28"/>
          <w:szCs w:val="28"/>
        </w:rPr>
        <w:t xml:space="preserve">в рамках государственной программы </w:t>
      </w:r>
      <w:r w:rsidRPr="00A85BFF">
        <w:rPr>
          <w:rFonts w:ascii="Times New Roman" w:hAnsi="Times New Roman" w:cs="Times New Roman"/>
          <w:sz w:val="28"/>
          <w:szCs w:val="28"/>
        </w:rPr>
        <w:t xml:space="preserve">изложены в </w:t>
      </w:r>
      <w:hyperlink w:anchor="sub_20000" w:history="1">
        <w:r w:rsidRPr="00894429">
          <w:rPr>
            <w:rFonts w:ascii="Times New Roman" w:hAnsi="Times New Roman" w:cs="Times New Roman"/>
            <w:sz w:val="28"/>
            <w:szCs w:val="28"/>
          </w:rPr>
          <w:t>приложени</w:t>
        </w:r>
        <w:r>
          <w:rPr>
            <w:rFonts w:ascii="Times New Roman" w:hAnsi="Times New Roman" w:cs="Times New Roman"/>
            <w:sz w:val="28"/>
            <w:szCs w:val="28"/>
          </w:rPr>
          <w:t>ях 1и</w:t>
        </w:r>
        <w:r w:rsidRPr="00894429">
          <w:rPr>
            <w:rFonts w:ascii="Times New Roman" w:hAnsi="Times New Roman" w:cs="Times New Roman"/>
            <w:sz w:val="28"/>
            <w:szCs w:val="28"/>
          </w:rPr>
          <w:t xml:space="preserve"> 2</w:t>
        </w:r>
      </w:hyperlink>
      <w:r w:rsidRPr="00894429">
        <w:rPr>
          <w:rFonts w:ascii="Times New Roman" w:hAnsi="Times New Roman" w:cs="Times New Roman"/>
          <w:sz w:val="28"/>
          <w:szCs w:val="28"/>
        </w:rPr>
        <w:t xml:space="preserve"> </w:t>
      </w:r>
      <w:r>
        <w:rPr>
          <w:rFonts w:ascii="Times New Roman" w:hAnsi="Times New Roman" w:cs="Times New Roman"/>
          <w:sz w:val="28"/>
          <w:szCs w:val="28"/>
        </w:rPr>
        <w:t>соответственно</w:t>
      </w:r>
      <w:r w:rsidRPr="00894429">
        <w:rPr>
          <w:rFonts w:ascii="Times New Roman" w:hAnsi="Times New Roman" w:cs="Times New Roman"/>
          <w:sz w:val="28"/>
          <w:szCs w:val="28"/>
        </w:rPr>
        <w:t>.</w:t>
      </w:r>
    </w:p>
    <w:p w:rsidR="00E15D8C" w:rsidRPr="00A85BFF" w:rsidRDefault="001A522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hyperlink r:id="rId52" w:history="1">
        <w:r w:rsidR="00E15D8C" w:rsidRPr="00894429">
          <w:rPr>
            <w:rFonts w:ascii="Times New Roman" w:hAnsi="Times New Roman" w:cs="Times New Roman"/>
            <w:sz w:val="28"/>
            <w:szCs w:val="28"/>
          </w:rPr>
          <w:t>Статьей 159</w:t>
        </w:r>
      </w:hyperlink>
      <w:r w:rsidR="00E15D8C" w:rsidRPr="00894429">
        <w:rPr>
          <w:rFonts w:ascii="Times New Roman" w:hAnsi="Times New Roman" w:cs="Times New Roman"/>
          <w:sz w:val="28"/>
          <w:szCs w:val="28"/>
        </w:rPr>
        <w:t xml:space="preserve"> Жилищного кодекса Российской Федерации и </w:t>
      </w:r>
      <w:hyperlink r:id="rId53" w:history="1">
        <w:r w:rsidR="00E15D8C" w:rsidRPr="00894429">
          <w:rPr>
            <w:rFonts w:ascii="Times New Roman" w:hAnsi="Times New Roman" w:cs="Times New Roman"/>
            <w:sz w:val="28"/>
            <w:szCs w:val="28"/>
          </w:rPr>
          <w:t>Постановлением</w:t>
        </w:r>
      </w:hyperlink>
      <w:r w:rsidR="00E15D8C" w:rsidRPr="00A85BFF">
        <w:rPr>
          <w:rFonts w:ascii="Times New Roman" w:hAnsi="Times New Roman" w:cs="Times New Roman"/>
          <w:sz w:val="28"/>
          <w:szCs w:val="28"/>
        </w:rPr>
        <w:t xml:space="preserve"> Правительства Российской Федерации от 14.12.2005 N 761 "О предоставлении субсидий на оплату жилого помещения и коммунальных услуг" предусмотрена необходимость установления региональных стандартов стоимости жилищно-коммунальных услуг. Эти стандарты используются при определении прав граждан на субсидии на оплату жилых </w:t>
      </w:r>
      <w:r w:rsidR="00E15D8C" w:rsidRPr="00A85BFF">
        <w:rPr>
          <w:rFonts w:ascii="Times New Roman" w:hAnsi="Times New Roman" w:cs="Times New Roman"/>
          <w:sz w:val="28"/>
          <w:szCs w:val="28"/>
        </w:rPr>
        <w:lastRenderedPageBreak/>
        <w:t>помещений и коммунальных услуг и расчете их размеров.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региональных стандартов нормативной площади жилого помещения, используемой для расчета субсидий, и размера региональных стандартов стоимости жилищно-коммунальных услуг,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Максимально допустимая доля расходов граждан на оплату жилого помещения и коммунальных услуг в совокупном доходе семьи в Брянской области установлена в размере 20%.</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Ежегодно исходя из цен, тарифов и нормативов, используемых для расчета платы за содержание и ремонт жилого помещения и коммунальных услуг, департамент рассчитывает региональные стандарты стоимости жилищно-коммунальных услуг из расчета на одного члена семьи для семей разной численности и одиноко проживающего гражданина, дифференцировано по муниципальным образованиям, отдельно для многоквартирных домов и жилых домов индивидуального жилищного фонда.</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E15D8C" w:rsidRPr="00E15D8C" w:rsidRDefault="00E15D8C" w:rsidP="00E15D8C">
      <w:pPr>
        <w:widowControl w:val="0"/>
        <w:autoSpaceDE w:val="0"/>
        <w:autoSpaceDN w:val="0"/>
        <w:adjustRightInd w:val="0"/>
        <w:spacing w:before="108" w:after="108" w:line="240" w:lineRule="auto"/>
        <w:jc w:val="center"/>
        <w:outlineLvl w:val="0"/>
        <w:rPr>
          <w:rFonts w:ascii="Times New Roman" w:hAnsi="Times New Roman" w:cs="Times New Roman"/>
          <w:bCs/>
          <w:color w:val="26282F"/>
          <w:sz w:val="28"/>
          <w:szCs w:val="28"/>
        </w:rPr>
      </w:pPr>
      <w:bookmarkStart w:id="1" w:name="sub_1024"/>
      <w:r w:rsidRPr="00A85BFF">
        <w:rPr>
          <w:rFonts w:ascii="Times New Roman" w:hAnsi="Times New Roman" w:cs="Times New Roman"/>
          <w:b/>
          <w:bCs/>
          <w:color w:val="26282F"/>
          <w:sz w:val="28"/>
          <w:szCs w:val="28"/>
        </w:rPr>
        <w:t xml:space="preserve"> </w:t>
      </w:r>
      <w:r w:rsidRPr="00E15D8C">
        <w:rPr>
          <w:rFonts w:ascii="Times New Roman" w:hAnsi="Times New Roman" w:cs="Times New Roman"/>
          <w:bCs/>
          <w:color w:val="26282F"/>
          <w:sz w:val="28"/>
          <w:szCs w:val="28"/>
        </w:rPr>
        <w:t>Приоритеты и цели государственной политики в сфере топливно-энергетического комплекса и жилищно-коммунального хозяйства, цели и задачи государственной программы</w:t>
      </w:r>
    </w:p>
    <w:bookmarkEnd w:id="1"/>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Стратегической целью реализации государственной политики в сфере топливно-энергетического комплекса и жилищно-коммунального хозяйства является создание комфортной среды обитания и жизнедеятельности для человека, которая обеспечивает высокое качество жизни в целом.</w:t>
      </w:r>
    </w:p>
    <w:p w:rsidR="00E15D8C" w:rsidRPr="00A85BFF" w:rsidRDefault="00E15D8C" w:rsidP="00E15D8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A85BFF">
        <w:rPr>
          <w:rFonts w:ascii="Times New Roman" w:hAnsi="Times New Roman" w:cs="Times New Roman"/>
          <w:sz w:val="28"/>
          <w:szCs w:val="28"/>
        </w:rPr>
        <w:t xml:space="preserve">Приоритетом надзорной деятельности является мотивация хозяйствующих субъектов к соблюдению </w:t>
      </w:r>
      <w:hyperlink r:id="rId54" w:history="1">
        <w:r w:rsidRPr="00A7235A">
          <w:rPr>
            <w:rFonts w:ascii="Times New Roman" w:hAnsi="Times New Roman" w:cs="Times New Roman"/>
            <w:sz w:val="28"/>
            <w:szCs w:val="28"/>
          </w:rPr>
          <w:t>жилищного законодательства</w:t>
        </w:r>
      </w:hyperlink>
      <w:r w:rsidRPr="00A85BFF">
        <w:rPr>
          <w:rFonts w:ascii="Times New Roman" w:hAnsi="Times New Roman" w:cs="Times New Roman"/>
          <w:sz w:val="28"/>
          <w:szCs w:val="28"/>
        </w:rPr>
        <w:t xml:space="preserve"> и создание комфортной среды проживания и эффективного жилищно-коммунального хозяйства, на достижении баланса социально-экономических интересов потребителей, производителей и иных участников рынка жилищно-коммунальных услуг при повышении качества условий проживания и коммунального обслуживания населения.</w:t>
      </w:r>
    </w:p>
    <w:p w:rsidR="00E15D8C" w:rsidRPr="00E15D8C" w:rsidRDefault="00E15D8C" w:rsidP="00E15D8C">
      <w:pPr>
        <w:widowControl w:val="0"/>
        <w:autoSpaceDE w:val="0"/>
        <w:autoSpaceDN w:val="0"/>
        <w:adjustRightInd w:val="0"/>
        <w:spacing w:before="108" w:after="108" w:line="240" w:lineRule="auto"/>
        <w:jc w:val="center"/>
        <w:outlineLvl w:val="0"/>
        <w:rPr>
          <w:rFonts w:ascii="Times New Roman CYR" w:hAnsi="Times New Roman CYR" w:cs="Times New Roman CYR"/>
          <w:bCs/>
          <w:color w:val="26282F"/>
          <w:sz w:val="28"/>
          <w:szCs w:val="28"/>
        </w:rPr>
      </w:pPr>
      <w:bookmarkStart w:id="2" w:name="sub_1028"/>
      <w:r w:rsidRPr="00E15D8C">
        <w:rPr>
          <w:rFonts w:ascii="Times New Roman CYR" w:hAnsi="Times New Roman CYR" w:cs="Times New Roman CYR"/>
          <w:bCs/>
          <w:color w:val="26282F"/>
          <w:sz w:val="28"/>
          <w:szCs w:val="28"/>
        </w:rPr>
        <w:t>Состав государственной программы</w:t>
      </w:r>
    </w:p>
    <w:bookmarkEnd w:id="2"/>
    <w:p w:rsidR="00E15D8C" w:rsidRPr="00AE6414" w:rsidRDefault="00E15D8C" w:rsidP="00E15D8C">
      <w:pPr>
        <w:widowControl w:val="0"/>
        <w:autoSpaceDE w:val="0"/>
        <w:autoSpaceDN w:val="0"/>
        <w:adjustRightInd w:val="0"/>
        <w:spacing w:after="0" w:line="240" w:lineRule="auto"/>
        <w:ind w:firstLine="720"/>
        <w:jc w:val="both"/>
        <w:rPr>
          <w:rFonts w:ascii="Times New Roman CYR" w:hAnsi="Times New Roman CYR" w:cs="Times New Roman CYR"/>
          <w:sz w:val="28"/>
          <w:szCs w:val="28"/>
        </w:rPr>
      </w:pPr>
    </w:p>
    <w:p w:rsidR="00E15D8C" w:rsidRPr="00AE6414" w:rsidRDefault="00E15D8C" w:rsidP="00E15D8C">
      <w:pPr>
        <w:widowControl w:val="0"/>
        <w:autoSpaceDE w:val="0"/>
        <w:autoSpaceDN w:val="0"/>
        <w:adjustRightInd w:val="0"/>
        <w:spacing w:after="0" w:line="240" w:lineRule="auto"/>
        <w:ind w:firstLine="720"/>
        <w:jc w:val="both"/>
        <w:rPr>
          <w:rFonts w:ascii="Times New Roman CYR" w:hAnsi="Times New Roman CYR" w:cs="Times New Roman CYR"/>
          <w:sz w:val="28"/>
          <w:szCs w:val="28"/>
        </w:rPr>
      </w:pPr>
      <w:r w:rsidRPr="00AE6414">
        <w:rPr>
          <w:rFonts w:ascii="Times New Roman CYR" w:hAnsi="Times New Roman CYR" w:cs="Times New Roman CYR"/>
          <w:sz w:val="28"/>
          <w:szCs w:val="28"/>
        </w:rPr>
        <w:t xml:space="preserve">В рамках реализации государственной программы осуществляется реализация подпрограмм </w:t>
      </w:r>
      <w:hyperlink w:anchor="sub_1100" w:history="1">
        <w:r w:rsidRPr="00A7235A">
          <w:rPr>
            <w:rFonts w:ascii="Times New Roman CYR" w:hAnsi="Times New Roman CYR" w:cs="Times New Roman CYR"/>
            <w:sz w:val="28"/>
            <w:szCs w:val="28"/>
          </w:rPr>
          <w:t>"Чистая вода"</w:t>
        </w:r>
      </w:hyperlink>
      <w:r w:rsidRPr="00A7235A">
        <w:rPr>
          <w:rFonts w:ascii="Times New Roman CYR" w:hAnsi="Times New Roman CYR" w:cs="Times New Roman CYR"/>
          <w:sz w:val="28"/>
          <w:szCs w:val="28"/>
        </w:rPr>
        <w:t xml:space="preserve"> и </w:t>
      </w:r>
      <w:hyperlink w:anchor="sub_1200" w:history="1">
        <w:r w:rsidRPr="00A7235A">
          <w:rPr>
            <w:rFonts w:ascii="Times New Roman CYR" w:hAnsi="Times New Roman CYR" w:cs="Times New Roman CYR"/>
            <w:sz w:val="28"/>
            <w:szCs w:val="28"/>
          </w:rPr>
          <w:t>"Строительство и реконструкция очистных сооружений в населенных пунктах Брянской области"</w:t>
        </w:r>
      </w:hyperlink>
      <w:r w:rsidRPr="00AE6414">
        <w:rPr>
          <w:rFonts w:ascii="Times New Roman CYR" w:hAnsi="Times New Roman CYR" w:cs="Times New Roman CYR"/>
          <w:sz w:val="28"/>
          <w:szCs w:val="28"/>
        </w:rPr>
        <w:t xml:space="preserve">, а также </w:t>
      </w:r>
      <w:r>
        <w:rPr>
          <w:rFonts w:ascii="Times New Roman CYR" w:hAnsi="Times New Roman CYR" w:cs="Times New Roman CYR"/>
          <w:sz w:val="28"/>
          <w:szCs w:val="28"/>
        </w:rPr>
        <w:t xml:space="preserve">региональных </w:t>
      </w:r>
      <w:r w:rsidRPr="00AE6414">
        <w:rPr>
          <w:rFonts w:ascii="Times New Roman CYR" w:hAnsi="Times New Roman CYR" w:cs="Times New Roman CYR"/>
          <w:sz w:val="28"/>
          <w:szCs w:val="28"/>
        </w:rPr>
        <w:t>проектов "Обеспечение устойчивого сокращения непригодного для проживания жилищного фонда</w:t>
      </w:r>
      <w:r>
        <w:rPr>
          <w:rFonts w:ascii="Times New Roman CYR" w:hAnsi="Times New Roman CYR" w:cs="Times New Roman CYR"/>
          <w:sz w:val="28"/>
          <w:szCs w:val="28"/>
        </w:rPr>
        <w:t xml:space="preserve"> </w:t>
      </w:r>
      <w:r>
        <w:rPr>
          <w:rFonts w:ascii="Times New Roman" w:hAnsi="Times New Roman" w:cs="Times New Roman"/>
          <w:sz w:val="28"/>
          <w:szCs w:val="28"/>
        </w:rPr>
        <w:t>(Брянская область)</w:t>
      </w:r>
      <w:r w:rsidRPr="00AE6414">
        <w:rPr>
          <w:rFonts w:ascii="Times New Roman CYR" w:hAnsi="Times New Roman CYR" w:cs="Times New Roman CYR"/>
          <w:sz w:val="28"/>
          <w:szCs w:val="28"/>
        </w:rPr>
        <w:t>" и "Чистая вода</w:t>
      </w:r>
      <w:r>
        <w:rPr>
          <w:rFonts w:ascii="Times New Roman CYR" w:hAnsi="Times New Roman CYR" w:cs="Times New Roman CYR"/>
          <w:sz w:val="28"/>
          <w:szCs w:val="28"/>
        </w:rPr>
        <w:t xml:space="preserve"> </w:t>
      </w:r>
      <w:r>
        <w:rPr>
          <w:rFonts w:ascii="Times New Roman" w:hAnsi="Times New Roman" w:cs="Times New Roman"/>
          <w:sz w:val="28"/>
          <w:szCs w:val="28"/>
        </w:rPr>
        <w:t>(Брянская область)</w:t>
      </w:r>
      <w:r w:rsidRPr="00AE6414">
        <w:rPr>
          <w:rFonts w:ascii="Times New Roman CYR" w:hAnsi="Times New Roman CYR" w:cs="Times New Roman CYR"/>
          <w:sz w:val="28"/>
          <w:szCs w:val="28"/>
        </w:rPr>
        <w:t>".</w:t>
      </w:r>
    </w:p>
    <w:p w:rsidR="00E15D8C" w:rsidRPr="00AE6414" w:rsidRDefault="00E15D8C" w:rsidP="00E15D8C">
      <w:pPr>
        <w:widowControl w:val="0"/>
        <w:autoSpaceDE w:val="0"/>
        <w:autoSpaceDN w:val="0"/>
        <w:adjustRightInd w:val="0"/>
        <w:spacing w:after="0" w:line="240" w:lineRule="auto"/>
        <w:ind w:firstLine="720"/>
        <w:jc w:val="both"/>
        <w:rPr>
          <w:rFonts w:ascii="Times New Roman CYR" w:hAnsi="Times New Roman CYR" w:cs="Times New Roman CYR"/>
          <w:sz w:val="28"/>
          <w:szCs w:val="28"/>
        </w:rPr>
      </w:pPr>
      <w:r w:rsidRPr="00AE6414">
        <w:rPr>
          <w:rFonts w:ascii="Times New Roman CYR" w:hAnsi="Times New Roman CYR" w:cs="Times New Roman CYR"/>
          <w:sz w:val="28"/>
          <w:szCs w:val="28"/>
        </w:rPr>
        <w:lastRenderedPageBreak/>
        <w:t>Подробный состав основных мероприятий, направлений расходов и мероприятий государственной программы, с указанием ресурсов на их выполнение, приведен в плане реализации государственной программы (</w:t>
      </w:r>
      <w:hyperlink w:anchor="sub_40000" w:history="1">
        <w:r w:rsidRPr="00A7235A">
          <w:rPr>
            <w:rFonts w:ascii="Times New Roman CYR" w:hAnsi="Times New Roman CYR" w:cs="Times New Roman CYR"/>
            <w:sz w:val="28"/>
            <w:szCs w:val="28"/>
          </w:rPr>
          <w:t>приложение 4</w:t>
        </w:r>
      </w:hyperlink>
      <w:r>
        <w:rPr>
          <w:rFonts w:ascii="Times New Roman CYR" w:hAnsi="Times New Roman CYR" w:cs="Times New Roman CYR"/>
          <w:sz w:val="28"/>
          <w:szCs w:val="28"/>
        </w:rPr>
        <w:t xml:space="preserve"> к государственной программе).</w:t>
      </w:r>
    </w:p>
    <w:p w:rsidR="00E15D8C" w:rsidRPr="00AE6414" w:rsidRDefault="00E15D8C" w:rsidP="00E15D8C">
      <w:pPr>
        <w:widowControl w:val="0"/>
        <w:autoSpaceDE w:val="0"/>
        <w:autoSpaceDN w:val="0"/>
        <w:adjustRightInd w:val="0"/>
        <w:spacing w:after="0" w:line="240" w:lineRule="auto"/>
        <w:ind w:firstLine="720"/>
        <w:jc w:val="both"/>
        <w:rPr>
          <w:rFonts w:ascii="Times New Roman CYR" w:hAnsi="Times New Roman CYR" w:cs="Times New Roman CYR"/>
          <w:sz w:val="28"/>
          <w:szCs w:val="28"/>
        </w:rPr>
      </w:pPr>
      <w:r w:rsidRPr="00AE6414">
        <w:rPr>
          <w:rFonts w:ascii="Times New Roman CYR" w:hAnsi="Times New Roman CYR" w:cs="Times New Roman CYR"/>
          <w:sz w:val="28"/>
          <w:szCs w:val="28"/>
        </w:rPr>
        <w:t xml:space="preserve">Сведения о показателях (индикаторах) государственной программы и их значениях представлены в </w:t>
      </w:r>
      <w:hyperlink w:anchor="sub_30000" w:history="1">
        <w:r w:rsidRPr="00A7235A">
          <w:rPr>
            <w:rFonts w:ascii="Times New Roman CYR" w:hAnsi="Times New Roman CYR" w:cs="Times New Roman CYR"/>
            <w:sz w:val="28"/>
            <w:szCs w:val="28"/>
          </w:rPr>
          <w:t>приложении 3</w:t>
        </w:r>
      </w:hyperlink>
      <w:r w:rsidRPr="00AE6414">
        <w:rPr>
          <w:rFonts w:ascii="Times New Roman CYR" w:hAnsi="Times New Roman CYR" w:cs="Times New Roman CYR"/>
          <w:sz w:val="28"/>
          <w:szCs w:val="28"/>
        </w:rPr>
        <w:t xml:space="preserve"> к государственной программе.</w:t>
      </w:r>
    </w:p>
    <w:p w:rsidR="00E15D8C" w:rsidRDefault="00E15D8C" w:rsidP="00E15D8C"/>
    <w:p w:rsidR="00455587" w:rsidRDefault="00455587"/>
    <w:sectPr w:rsidR="00455587" w:rsidSect="004555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A1FDD"/>
    <w:multiLevelType w:val="multilevel"/>
    <w:tmpl w:val="C96E240A"/>
    <w:lvl w:ilvl="0">
      <w:start w:val="1"/>
      <w:numFmt w:val="decimal"/>
      <w:lvlText w:val="%1."/>
      <w:lvlJc w:val="left"/>
      <w:pPr>
        <w:ind w:left="1684" w:hanging="975"/>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D8C"/>
    <w:rsid w:val="001A522C"/>
    <w:rsid w:val="001D38A0"/>
    <w:rsid w:val="00455587"/>
    <w:rsid w:val="008E50F2"/>
    <w:rsid w:val="00E15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E15D8C"/>
    <w:pPr>
      <w:widowControl w:val="0"/>
      <w:autoSpaceDE w:val="0"/>
      <w:autoSpaceDN w:val="0"/>
      <w:adjustRightInd w:val="0"/>
      <w:spacing w:before="108" w:after="108" w:line="240" w:lineRule="auto"/>
      <w:jc w:val="center"/>
      <w:outlineLvl w:val="0"/>
    </w:pPr>
    <w:rPr>
      <w:rFonts w:ascii="Times New Roman CYR"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5D8C"/>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E15D8C"/>
  </w:style>
  <w:style w:type="character" w:customStyle="1" w:styleId="a3">
    <w:name w:val="Цветовое выделение"/>
    <w:uiPriority w:val="99"/>
    <w:rsid w:val="00E15D8C"/>
    <w:rPr>
      <w:b/>
      <w:color w:val="26282F"/>
    </w:rPr>
  </w:style>
  <w:style w:type="character" w:customStyle="1" w:styleId="a4">
    <w:name w:val="Гипертекстовая ссылка"/>
    <w:basedOn w:val="a3"/>
    <w:uiPriority w:val="99"/>
    <w:rsid w:val="00E15D8C"/>
    <w:rPr>
      <w:rFonts w:cs="Times New Roman"/>
      <w:b w:val="0"/>
      <w:color w:val="106BBE"/>
    </w:rPr>
  </w:style>
  <w:style w:type="paragraph" w:customStyle="1" w:styleId="a5">
    <w:name w:val="Текст (справка)"/>
    <w:basedOn w:val="a"/>
    <w:next w:val="a"/>
    <w:uiPriority w:val="99"/>
    <w:rsid w:val="00E15D8C"/>
    <w:pPr>
      <w:widowControl w:val="0"/>
      <w:autoSpaceDE w:val="0"/>
      <w:autoSpaceDN w:val="0"/>
      <w:adjustRightInd w:val="0"/>
      <w:spacing w:after="0" w:line="240" w:lineRule="auto"/>
      <w:ind w:left="170" w:right="170"/>
    </w:pPr>
    <w:rPr>
      <w:rFonts w:ascii="Times New Roman CYR" w:hAnsi="Times New Roman CYR" w:cs="Times New Roman CYR"/>
      <w:sz w:val="24"/>
      <w:szCs w:val="24"/>
    </w:rPr>
  </w:style>
  <w:style w:type="paragraph" w:customStyle="1" w:styleId="a6">
    <w:name w:val="Комментарий"/>
    <w:basedOn w:val="a5"/>
    <w:next w:val="a"/>
    <w:uiPriority w:val="99"/>
    <w:rsid w:val="00E15D8C"/>
    <w:pPr>
      <w:spacing w:before="75"/>
      <w:ind w:right="0"/>
      <w:jc w:val="both"/>
    </w:pPr>
    <w:rPr>
      <w:color w:val="353842"/>
    </w:rPr>
  </w:style>
  <w:style w:type="paragraph" w:customStyle="1" w:styleId="a7">
    <w:name w:val="Информация о версии"/>
    <w:basedOn w:val="a6"/>
    <w:next w:val="a"/>
    <w:uiPriority w:val="99"/>
    <w:rsid w:val="00E15D8C"/>
    <w:rPr>
      <w:i/>
      <w:iCs/>
    </w:rPr>
  </w:style>
  <w:style w:type="paragraph" w:customStyle="1" w:styleId="a8">
    <w:name w:val="Текст информации об изменениях"/>
    <w:basedOn w:val="a"/>
    <w:next w:val="a"/>
    <w:uiPriority w:val="99"/>
    <w:rsid w:val="00E15D8C"/>
    <w:pPr>
      <w:widowControl w:val="0"/>
      <w:autoSpaceDE w:val="0"/>
      <w:autoSpaceDN w:val="0"/>
      <w:adjustRightInd w:val="0"/>
      <w:spacing w:after="0" w:line="240" w:lineRule="auto"/>
      <w:ind w:firstLine="720"/>
      <w:jc w:val="both"/>
    </w:pPr>
    <w:rPr>
      <w:rFonts w:ascii="Times New Roman CYR" w:hAnsi="Times New Roman CYR" w:cs="Times New Roman CYR"/>
      <w:color w:val="353842"/>
      <w:sz w:val="20"/>
      <w:szCs w:val="20"/>
    </w:rPr>
  </w:style>
  <w:style w:type="paragraph" w:customStyle="1" w:styleId="a9">
    <w:name w:val="Информация об изменениях"/>
    <w:basedOn w:val="a8"/>
    <w:next w:val="a"/>
    <w:uiPriority w:val="99"/>
    <w:rsid w:val="00E15D8C"/>
    <w:pPr>
      <w:spacing w:before="180"/>
      <w:ind w:left="360" w:right="360" w:firstLine="0"/>
    </w:pPr>
  </w:style>
  <w:style w:type="paragraph" w:customStyle="1" w:styleId="aa">
    <w:name w:val="Нормальный (таблица)"/>
    <w:basedOn w:val="a"/>
    <w:next w:val="a"/>
    <w:uiPriority w:val="99"/>
    <w:rsid w:val="00E15D8C"/>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customStyle="1" w:styleId="ab">
    <w:name w:val="Таблицы (моноширинный)"/>
    <w:basedOn w:val="a"/>
    <w:next w:val="a"/>
    <w:uiPriority w:val="99"/>
    <w:rsid w:val="00E15D8C"/>
    <w:pPr>
      <w:widowControl w:val="0"/>
      <w:autoSpaceDE w:val="0"/>
      <w:autoSpaceDN w:val="0"/>
      <w:adjustRightInd w:val="0"/>
      <w:spacing w:after="0" w:line="240" w:lineRule="auto"/>
    </w:pPr>
    <w:rPr>
      <w:rFonts w:ascii="Courier New" w:hAnsi="Courier New" w:cs="Courier New"/>
      <w:sz w:val="24"/>
      <w:szCs w:val="24"/>
    </w:rPr>
  </w:style>
  <w:style w:type="paragraph" w:customStyle="1" w:styleId="ac">
    <w:name w:val="Подзаголовок для информации об изменениях"/>
    <w:basedOn w:val="a8"/>
    <w:next w:val="a"/>
    <w:uiPriority w:val="99"/>
    <w:rsid w:val="00E15D8C"/>
    <w:rPr>
      <w:b/>
      <w:bCs/>
    </w:rPr>
  </w:style>
  <w:style w:type="paragraph" w:customStyle="1" w:styleId="ad">
    <w:name w:val="Прижатый влево"/>
    <w:basedOn w:val="a"/>
    <w:next w:val="a"/>
    <w:uiPriority w:val="99"/>
    <w:rsid w:val="00E15D8C"/>
    <w:pPr>
      <w:widowControl w:val="0"/>
      <w:autoSpaceDE w:val="0"/>
      <w:autoSpaceDN w:val="0"/>
      <w:adjustRightInd w:val="0"/>
      <w:spacing w:after="0" w:line="240" w:lineRule="auto"/>
    </w:pPr>
    <w:rPr>
      <w:rFonts w:ascii="Times New Roman CYR" w:hAnsi="Times New Roman CYR" w:cs="Times New Roman CYR"/>
      <w:sz w:val="24"/>
      <w:szCs w:val="24"/>
    </w:rPr>
  </w:style>
  <w:style w:type="character" w:customStyle="1" w:styleId="ae">
    <w:name w:val="Цветовое выделение для Текст"/>
    <w:uiPriority w:val="99"/>
    <w:rsid w:val="00E15D8C"/>
    <w:rPr>
      <w:rFonts w:ascii="Times New Roman CYR" w:hAnsi="Times New Roman CYR"/>
    </w:rPr>
  </w:style>
  <w:style w:type="paragraph" w:styleId="af">
    <w:name w:val="header"/>
    <w:basedOn w:val="a"/>
    <w:link w:val="af0"/>
    <w:uiPriority w:val="99"/>
    <w:semiHidden/>
    <w:unhideWhenUsed/>
    <w:rsid w:val="00E15D8C"/>
    <w:pPr>
      <w:widowControl w:val="0"/>
      <w:tabs>
        <w:tab w:val="center" w:pos="4677"/>
        <w:tab w:val="right" w:pos="9355"/>
      </w:tabs>
      <w:autoSpaceDE w:val="0"/>
      <w:autoSpaceDN w:val="0"/>
      <w:adjustRightInd w:val="0"/>
      <w:spacing w:after="0" w:line="240" w:lineRule="auto"/>
      <w:ind w:firstLine="720"/>
      <w:jc w:val="both"/>
    </w:pPr>
    <w:rPr>
      <w:rFonts w:ascii="Times New Roman CYR" w:hAnsi="Times New Roman CYR" w:cs="Times New Roman CYR"/>
      <w:sz w:val="24"/>
      <w:szCs w:val="24"/>
    </w:rPr>
  </w:style>
  <w:style w:type="character" w:customStyle="1" w:styleId="af0">
    <w:name w:val="Верхний колонтитул Знак"/>
    <w:basedOn w:val="a0"/>
    <w:link w:val="af"/>
    <w:uiPriority w:val="99"/>
    <w:semiHidden/>
    <w:rsid w:val="00E15D8C"/>
    <w:rPr>
      <w:rFonts w:ascii="Times New Roman CYR" w:eastAsiaTheme="minorEastAsia" w:hAnsi="Times New Roman CYR" w:cs="Times New Roman CYR"/>
      <w:sz w:val="24"/>
      <w:szCs w:val="24"/>
      <w:lang w:eastAsia="ru-RU"/>
    </w:rPr>
  </w:style>
  <w:style w:type="paragraph" w:styleId="af1">
    <w:name w:val="footer"/>
    <w:basedOn w:val="a"/>
    <w:link w:val="af2"/>
    <w:uiPriority w:val="99"/>
    <w:semiHidden/>
    <w:unhideWhenUsed/>
    <w:rsid w:val="00E15D8C"/>
    <w:pPr>
      <w:widowControl w:val="0"/>
      <w:tabs>
        <w:tab w:val="center" w:pos="4677"/>
        <w:tab w:val="right" w:pos="9355"/>
      </w:tabs>
      <w:autoSpaceDE w:val="0"/>
      <w:autoSpaceDN w:val="0"/>
      <w:adjustRightInd w:val="0"/>
      <w:spacing w:after="0" w:line="240" w:lineRule="auto"/>
      <w:ind w:firstLine="720"/>
      <w:jc w:val="both"/>
    </w:pPr>
    <w:rPr>
      <w:rFonts w:ascii="Times New Roman CYR" w:hAnsi="Times New Roman CYR" w:cs="Times New Roman CYR"/>
      <w:sz w:val="24"/>
      <w:szCs w:val="24"/>
    </w:rPr>
  </w:style>
  <w:style w:type="character" w:customStyle="1" w:styleId="af2">
    <w:name w:val="Нижний колонтитул Знак"/>
    <w:basedOn w:val="a0"/>
    <w:link w:val="af1"/>
    <w:uiPriority w:val="99"/>
    <w:semiHidden/>
    <w:rsid w:val="00E15D8C"/>
    <w:rPr>
      <w:rFonts w:ascii="Times New Roman CYR" w:eastAsiaTheme="minorEastAsia" w:hAnsi="Times New Roman CYR" w:cs="Times New Roman CYR"/>
      <w:sz w:val="24"/>
      <w:szCs w:val="24"/>
      <w:lang w:eastAsia="ru-RU"/>
    </w:rPr>
  </w:style>
  <w:style w:type="paragraph" w:styleId="af3">
    <w:name w:val="Balloon Text"/>
    <w:basedOn w:val="a"/>
    <w:link w:val="af4"/>
    <w:uiPriority w:val="99"/>
    <w:semiHidden/>
    <w:unhideWhenUsed/>
    <w:rsid w:val="00E15D8C"/>
    <w:pPr>
      <w:widowControl w:val="0"/>
      <w:autoSpaceDE w:val="0"/>
      <w:autoSpaceDN w:val="0"/>
      <w:adjustRightInd w:val="0"/>
      <w:spacing w:after="0" w:line="240" w:lineRule="auto"/>
      <w:ind w:firstLine="720"/>
      <w:jc w:val="both"/>
    </w:pPr>
    <w:rPr>
      <w:rFonts w:ascii="Tahoma" w:hAnsi="Tahoma" w:cs="Tahoma"/>
      <w:sz w:val="16"/>
      <w:szCs w:val="16"/>
    </w:rPr>
  </w:style>
  <w:style w:type="character" w:customStyle="1" w:styleId="af4">
    <w:name w:val="Текст выноски Знак"/>
    <w:basedOn w:val="a0"/>
    <w:link w:val="af3"/>
    <w:uiPriority w:val="99"/>
    <w:semiHidden/>
    <w:rsid w:val="00E15D8C"/>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E15D8C"/>
    <w:pPr>
      <w:widowControl w:val="0"/>
      <w:autoSpaceDE w:val="0"/>
      <w:autoSpaceDN w:val="0"/>
      <w:adjustRightInd w:val="0"/>
      <w:spacing w:before="108" w:after="108" w:line="240" w:lineRule="auto"/>
      <w:jc w:val="center"/>
      <w:outlineLvl w:val="0"/>
    </w:pPr>
    <w:rPr>
      <w:rFonts w:ascii="Times New Roman CYR"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5D8C"/>
    <w:rPr>
      <w:rFonts w:ascii="Times New Roman CYR" w:eastAsiaTheme="minorEastAsia" w:hAnsi="Times New Roman CYR" w:cs="Times New Roman CYR"/>
      <w:b/>
      <w:bCs/>
      <w:color w:val="26282F"/>
      <w:sz w:val="24"/>
      <w:szCs w:val="24"/>
      <w:lang w:eastAsia="ru-RU"/>
    </w:rPr>
  </w:style>
  <w:style w:type="numbering" w:customStyle="1" w:styleId="11">
    <w:name w:val="Нет списка1"/>
    <w:next w:val="a2"/>
    <w:uiPriority w:val="99"/>
    <w:semiHidden/>
    <w:unhideWhenUsed/>
    <w:rsid w:val="00E15D8C"/>
  </w:style>
  <w:style w:type="character" w:customStyle="1" w:styleId="a3">
    <w:name w:val="Цветовое выделение"/>
    <w:uiPriority w:val="99"/>
    <w:rsid w:val="00E15D8C"/>
    <w:rPr>
      <w:b/>
      <w:color w:val="26282F"/>
    </w:rPr>
  </w:style>
  <w:style w:type="character" w:customStyle="1" w:styleId="a4">
    <w:name w:val="Гипертекстовая ссылка"/>
    <w:basedOn w:val="a3"/>
    <w:uiPriority w:val="99"/>
    <w:rsid w:val="00E15D8C"/>
    <w:rPr>
      <w:rFonts w:cs="Times New Roman"/>
      <w:b w:val="0"/>
      <w:color w:val="106BBE"/>
    </w:rPr>
  </w:style>
  <w:style w:type="paragraph" w:customStyle="1" w:styleId="a5">
    <w:name w:val="Текст (справка)"/>
    <w:basedOn w:val="a"/>
    <w:next w:val="a"/>
    <w:uiPriority w:val="99"/>
    <w:rsid w:val="00E15D8C"/>
    <w:pPr>
      <w:widowControl w:val="0"/>
      <w:autoSpaceDE w:val="0"/>
      <w:autoSpaceDN w:val="0"/>
      <w:adjustRightInd w:val="0"/>
      <w:spacing w:after="0" w:line="240" w:lineRule="auto"/>
      <w:ind w:left="170" w:right="170"/>
    </w:pPr>
    <w:rPr>
      <w:rFonts w:ascii="Times New Roman CYR" w:hAnsi="Times New Roman CYR" w:cs="Times New Roman CYR"/>
      <w:sz w:val="24"/>
      <w:szCs w:val="24"/>
    </w:rPr>
  </w:style>
  <w:style w:type="paragraph" w:customStyle="1" w:styleId="a6">
    <w:name w:val="Комментарий"/>
    <w:basedOn w:val="a5"/>
    <w:next w:val="a"/>
    <w:uiPriority w:val="99"/>
    <w:rsid w:val="00E15D8C"/>
    <w:pPr>
      <w:spacing w:before="75"/>
      <w:ind w:right="0"/>
      <w:jc w:val="both"/>
    </w:pPr>
    <w:rPr>
      <w:color w:val="353842"/>
    </w:rPr>
  </w:style>
  <w:style w:type="paragraph" w:customStyle="1" w:styleId="a7">
    <w:name w:val="Информация о версии"/>
    <w:basedOn w:val="a6"/>
    <w:next w:val="a"/>
    <w:uiPriority w:val="99"/>
    <w:rsid w:val="00E15D8C"/>
    <w:rPr>
      <w:i/>
      <w:iCs/>
    </w:rPr>
  </w:style>
  <w:style w:type="paragraph" w:customStyle="1" w:styleId="a8">
    <w:name w:val="Текст информации об изменениях"/>
    <w:basedOn w:val="a"/>
    <w:next w:val="a"/>
    <w:uiPriority w:val="99"/>
    <w:rsid w:val="00E15D8C"/>
    <w:pPr>
      <w:widowControl w:val="0"/>
      <w:autoSpaceDE w:val="0"/>
      <w:autoSpaceDN w:val="0"/>
      <w:adjustRightInd w:val="0"/>
      <w:spacing w:after="0" w:line="240" w:lineRule="auto"/>
      <w:ind w:firstLine="720"/>
      <w:jc w:val="both"/>
    </w:pPr>
    <w:rPr>
      <w:rFonts w:ascii="Times New Roman CYR" w:hAnsi="Times New Roman CYR" w:cs="Times New Roman CYR"/>
      <w:color w:val="353842"/>
      <w:sz w:val="20"/>
      <w:szCs w:val="20"/>
    </w:rPr>
  </w:style>
  <w:style w:type="paragraph" w:customStyle="1" w:styleId="a9">
    <w:name w:val="Информация об изменениях"/>
    <w:basedOn w:val="a8"/>
    <w:next w:val="a"/>
    <w:uiPriority w:val="99"/>
    <w:rsid w:val="00E15D8C"/>
    <w:pPr>
      <w:spacing w:before="180"/>
      <w:ind w:left="360" w:right="360" w:firstLine="0"/>
    </w:pPr>
  </w:style>
  <w:style w:type="paragraph" w:customStyle="1" w:styleId="aa">
    <w:name w:val="Нормальный (таблица)"/>
    <w:basedOn w:val="a"/>
    <w:next w:val="a"/>
    <w:uiPriority w:val="99"/>
    <w:rsid w:val="00E15D8C"/>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customStyle="1" w:styleId="ab">
    <w:name w:val="Таблицы (моноширинный)"/>
    <w:basedOn w:val="a"/>
    <w:next w:val="a"/>
    <w:uiPriority w:val="99"/>
    <w:rsid w:val="00E15D8C"/>
    <w:pPr>
      <w:widowControl w:val="0"/>
      <w:autoSpaceDE w:val="0"/>
      <w:autoSpaceDN w:val="0"/>
      <w:adjustRightInd w:val="0"/>
      <w:spacing w:after="0" w:line="240" w:lineRule="auto"/>
    </w:pPr>
    <w:rPr>
      <w:rFonts w:ascii="Courier New" w:hAnsi="Courier New" w:cs="Courier New"/>
      <w:sz w:val="24"/>
      <w:szCs w:val="24"/>
    </w:rPr>
  </w:style>
  <w:style w:type="paragraph" w:customStyle="1" w:styleId="ac">
    <w:name w:val="Подзаголовок для информации об изменениях"/>
    <w:basedOn w:val="a8"/>
    <w:next w:val="a"/>
    <w:uiPriority w:val="99"/>
    <w:rsid w:val="00E15D8C"/>
    <w:rPr>
      <w:b/>
      <w:bCs/>
    </w:rPr>
  </w:style>
  <w:style w:type="paragraph" w:customStyle="1" w:styleId="ad">
    <w:name w:val="Прижатый влево"/>
    <w:basedOn w:val="a"/>
    <w:next w:val="a"/>
    <w:uiPriority w:val="99"/>
    <w:rsid w:val="00E15D8C"/>
    <w:pPr>
      <w:widowControl w:val="0"/>
      <w:autoSpaceDE w:val="0"/>
      <w:autoSpaceDN w:val="0"/>
      <w:adjustRightInd w:val="0"/>
      <w:spacing w:after="0" w:line="240" w:lineRule="auto"/>
    </w:pPr>
    <w:rPr>
      <w:rFonts w:ascii="Times New Roman CYR" w:hAnsi="Times New Roman CYR" w:cs="Times New Roman CYR"/>
      <w:sz w:val="24"/>
      <w:szCs w:val="24"/>
    </w:rPr>
  </w:style>
  <w:style w:type="character" w:customStyle="1" w:styleId="ae">
    <w:name w:val="Цветовое выделение для Текст"/>
    <w:uiPriority w:val="99"/>
    <w:rsid w:val="00E15D8C"/>
    <w:rPr>
      <w:rFonts w:ascii="Times New Roman CYR" w:hAnsi="Times New Roman CYR"/>
    </w:rPr>
  </w:style>
  <w:style w:type="paragraph" w:styleId="af">
    <w:name w:val="header"/>
    <w:basedOn w:val="a"/>
    <w:link w:val="af0"/>
    <w:uiPriority w:val="99"/>
    <w:semiHidden/>
    <w:unhideWhenUsed/>
    <w:rsid w:val="00E15D8C"/>
    <w:pPr>
      <w:widowControl w:val="0"/>
      <w:tabs>
        <w:tab w:val="center" w:pos="4677"/>
        <w:tab w:val="right" w:pos="9355"/>
      </w:tabs>
      <w:autoSpaceDE w:val="0"/>
      <w:autoSpaceDN w:val="0"/>
      <w:adjustRightInd w:val="0"/>
      <w:spacing w:after="0" w:line="240" w:lineRule="auto"/>
      <w:ind w:firstLine="720"/>
      <w:jc w:val="both"/>
    </w:pPr>
    <w:rPr>
      <w:rFonts w:ascii="Times New Roman CYR" w:hAnsi="Times New Roman CYR" w:cs="Times New Roman CYR"/>
      <w:sz w:val="24"/>
      <w:szCs w:val="24"/>
    </w:rPr>
  </w:style>
  <w:style w:type="character" w:customStyle="1" w:styleId="af0">
    <w:name w:val="Верхний колонтитул Знак"/>
    <w:basedOn w:val="a0"/>
    <w:link w:val="af"/>
    <w:uiPriority w:val="99"/>
    <w:semiHidden/>
    <w:rsid w:val="00E15D8C"/>
    <w:rPr>
      <w:rFonts w:ascii="Times New Roman CYR" w:eastAsiaTheme="minorEastAsia" w:hAnsi="Times New Roman CYR" w:cs="Times New Roman CYR"/>
      <w:sz w:val="24"/>
      <w:szCs w:val="24"/>
      <w:lang w:eastAsia="ru-RU"/>
    </w:rPr>
  </w:style>
  <w:style w:type="paragraph" w:styleId="af1">
    <w:name w:val="footer"/>
    <w:basedOn w:val="a"/>
    <w:link w:val="af2"/>
    <w:uiPriority w:val="99"/>
    <w:semiHidden/>
    <w:unhideWhenUsed/>
    <w:rsid w:val="00E15D8C"/>
    <w:pPr>
      <w:widowControl w:val="0"/>
      <w:tabs>
        <w:tab w:val="center" w:pos="4677"/>
        <w:tab w:val="right" w:pos="9355"/>
      </w:tabs>
      <w:autoSpaceDE w:val="0"/>
      <w:autoSpaceDN w:val="0"/>
      <w:adjustRightInd w:val="0"/>
      <w:spacing w:after="0" w:line="240" w:lineRule="auto"/>
      <w:ind w:firstLine="720"/>
      <w:jc w:val="both"/>
    </w:pPr>
    <w:rPr>
      <w:rFonts w:ascii="Times New Roman CYR" w:hAnsi="Times New Roman CYR" w:cs="Times New Roman CYR"/>
      <w:sz w:val="24"/>
      <w:szCs w:val="24"/>
    </w:rPr>
  </w:style>
  <w:style w:type="character" w:customStyle="1" w:styleId="af2">
    <w:name w:val="Нижний колонтитул Знак"/>
    <w:basedOn w:val="a0"/>
    <w:link w:val="af1"/>
    <w:uiPriority w:val="99"/>
    <w:semiHidden/>
    <w:rsid w:val="00E15D8C"/>
    <w:rPr>
      <w:rFonts w:ascii="Times New Roman CYR" w:eastAsiaTheme="minorEastAsia" w:hAnsi="Times New Roman CYR" w:cs="Times New Roman CYR"/>
      <w:sz w:val="24"/>
      <w:szCs w:val="24"/>
      <w:lang w:eastAsia="ru-RU"/>
    </w:rPr>
  </w:style>
  <w:style w:type="paragraph" w:styleId="af3">
    <w:name w:val="Balloon Text"/>
    <w:basedOn w:val="a"/>
    <w:link w:val="af4"/>
    <w:uiPriority w:val="99"/>
    <w:semiHidden/>
    <w:unhideWhenUsed/>
    <w:rsid w:val="00E15D8C"/>
    <w:pPr>
      <w:widowControl w:val="0"/>
      <w:autoSpaceDE w:val="0"/>
      <w:autoSpaceDN w:val="0"/>
      <w:adjustRightInd w:val="0"/>
      <w:spacing w:after="0" w:line="240" w:lineRule="auto"/>
      <w:ind w:firstLine="720"/>
      <w:jc w:val="both"/>
    </w:pPr>
    <w:rPr>
      <w:rFonts w:ascii="Tahoma" w:hAnsi="Tahoma" w:cs="Tahoma"/>
      <w:sz w:val="16"/>
      <w:szCs w:val="16"/>
    </w:rPr>
  </w:style>
  <w:style w:type="character" w:customStyle="1" w:styleId="af4">
    <w:name w:val="Текст выноски Знак"/>
    <w:basedOn w:val="a0"/>
    <w:link w:val="af3"/>
    <w:uiPriority w:val="99"/>
    <w:semiHidden/>
    <w:rsid w:val="00E15D8C"/>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24332253/0" TargetMode="External"/><Relationship Id="rId18" Type="http://schemas.openxmlformats.org/officeDocument/2006/relationships/hyperlink" Target="http://internet.garant.ru/document/redirect/24332261/0" TargetMode="External"/><Relationship Id="rId26" Type="http://schemas.openxmlformats.org/officeDocument/2006/relationships/hyperlink" Target="http://internet.garant.ru/document/redirect/12138291/5" TargetMode="External"/><Relationship Id="rId39" Type="http://schemas.openxmlformats.org/officeDocument/2006/relationships/hyperlink" Target="http://internet.garant.ru/document/redirect/71847448/0" TargetMode="External"/><Relationship Id="rId21" Type="http://schemas.openxmlformats.org/officeDocument/2006/relationships/hyperlink" Target="http://internet.garant.ru/document/redirect/72370002/0" TargetMode="External"/><Relationship Id="rId34" Type="http://schemas.openxmlformats.org/officeDocument/2006/relationships/hyperlink" Target="http://internet.garant.ru/document/redirect/12138291/195" TargetMode="External"/><Relationship Id="rId42" Type="http://schemas.openxmlformats.org/officeDocument/2006/relationships/hyperlink" Target="http://internet.garant.ru/document/redirect/12125267/7233" TargetMode="External"/><Relationship Id="rId47" Type="http://schemas.openxmlformats.org/officeDocument/2006/relationships/hyperlink" Target="http://internet.garant.ru/document/redirect/12125267/131921" TargetMode="External"/><Relationship Id="rId50" Type="http://schemas.openxmlformats.org/officeDocument/2006/relationships/hyperlink" Target="http://internet.garant.ru/document/redirect/71848790/0" TargetMode="External"/><Relationship Id="rId55" Type="http://schemas.openxmlformats.org/officeDocument/2006/relationships/fontTable" Target="fontTable.xml"/><Relationship Id="rId7" Type="http://schemas.openxmlformats.org/officeDocument/2006/relationships/hyperlink" Target="http://internet.garant.ru/document/redirect/42592954/1000" TargetMode="External"/><Relationship Id="rId2" Type="http://schemas.openxmlformats.org/officeDocument/2006/relationships/styles" Target="styles.xml"/><Relationship Id="rId16" Type="http://schemas.openxmlformats.org/officeDocument/2006/relationships/hyperlink" Target="http://internet.garant.ru/document/redirect/12138291/0" TargetMode="External"/><Relationship Id="rId29" Type="http://schemas.openxmlformats.org/officeDocument/2006/relationships/hyperlink" Target="http://internet.garant.ru/document/redirect/70700450/7311" TargetMode="External"/><Relationship Id="rId11" Type="http://schemas.openxmlformats.org/officeDocument/2006/relationships/hyperlink" Target="http://internet.garant.ru/document/redirect/12138291/154" TargetMode="External"/><Relationship Id="rId24" Type="http://schemas.openxmlformats.org/officeDocument/2006/relationships/hyperlink" Target="http://internet.garant.ru/document/redirect/12138291/5" TargetMode="External"/><Relationship Id="rId32" Type="http://schemas.openxmlformats.org/officeDocument/2006/relationships/hyperlink" Target="http://internet.garant.ru/document/redirect/70700450/1204" TargetMode="External"/><Relationship Id="rId37" Type="http://schemas.openxmlformats.org/officeDocument/2006/relationships/hyperlink" Target="http://internet.garant.ru/document/redirect/70700450/703" TargetMode="External"/><Relationship Id="rId40" Type="http://schemas.openxmlformats.org/officeDocument/2006/relationships/hyperlink" Target="http://internet.garant.ru/document/redirect/12125267/13192" TargetMode="External"/><Relationship Id="rId45" Type="http://schemas.openxmlformats.org/officeDocument/2006/relationships/hyperlink" Target="http://internet.garant.ru/document/redirect/12125267/72301" TargetMode="External"/><Relationship Id="rId53" Type="http://schemas.openxmlformats.org/officeDocument/2006/relationships/hyperlink" Target="http://internet.garant.ru/document/redirect/12143735/0" TargetMode="External"/><Relationship Id="rId5" Type="http://schemas.openxmlformats.org/officeDocument/2006/relationships/webSettings" Target="webSettings.xml"/><Relationship Id="rId10" Type="http://schemas.openxmlformats.org/officeDocument/2006/relationships/hyperlink" Target="http://internet.garant.ru/document/redirect/12138291/153" TargetMode="External"/><Relationship Id="rId19" Type="http://schemas.openxmlformats.org/officeDocument/2006/relationships/hyperlink" Target="http://internet.garant.ru/document/redirect/72150168/410" TargetMode="External"/><Relationship Id="rId31" Type="http://schemas.openxmlformats.org/officeDocument/2006/relationships/hyperlink" Target="http://internet.garant.ru/document/redirect/24399799/784" TargetMode="External"/><Relationship Id="rId44" Type="http://schemas.openxmlformats.org/officeDocument/2006/relationships/hyperlink" Target="http://internet.garant.ru/document/redirect/12125267/235501" TargetMode="External"/><Relationship Id="rId52" Type="http://schemas.openxmlformats.org/officeDocument/2006/relationships/hyperlink" Target="http://internet.garant.ru/document/redirect/12138291/159" TargetMode="External"/><Relationship Id="rId4" Type="http://schemas.openxmlformats.org/officeDocument/2006/relationships/settings" Target="settings.xml"/><Relationship Id="rId9" Type="http://schemas.openxmlformats.org/officeDocument/2006/relationships/hyperlink" Target="http://internet.garant.ru/document/redirect/72192510/440" TargetMode="External"/><Relationship Id="rId14" Type="http://schemas.openxmlformats.org/officeDocument/2006/relationships/hyperlink" Target="http://internet.garant.ru/document/redirect/24389882/0" TargetMode="External"/><Relationship Id="rId22" Type="http://schemas.openxmlformats.org/officeDocument/2006/relationships/hyperlink" Target="http://internet.garant.ru/document/redirect/55183675/1000" TargetMode="External"/><Relationship Id="rId27" Type="http://schemas.openxmlformats.org/officeDocument/2006/relationships/hyperlink" Target="http://internet.garant.ru/document/redirect/12164247/0" TargetMode="External"/><Relationship Id="rId30" Type="http://schemas.openxmlformats.org/officeDocument/2006/relationships/hyperlink" Target="http://internet.garant.ru/document/redirect/70875760/0" TargetMode="External"/><Relationship Id="rId35" Type="http://schemas.openxmlformats.org/officeDocument/2006/relationships/hyperlink" Target="http://internet.garant.ru/document/redirect/12138291/198" TargetMode="External"/><Relationship Id="rId43" Type="http://schemas.openxmlformats.org/officeDocument/2006/relationships/hyperlink" Target="http://internet.garant.ru/document/redirect/12138291/20" TargetMode="External"/><Relationship Id="rId48" Type="http://schemas.openxmlformats.org/officeDocument/2006/relationships/hyperlink" Target="http://internet.garant.ru/document/redirect/70701074/0" TargetMode="External"/><Relationship Id="rId56" Type="http://schemas.openxmlformats.org/officeDocument/2006/relationships/theme" Target="theme/theme1.xml"/><Relationship Id="rId8" Type="http://schemas.openxmlformats.org/officeDocument/2006/relationships/hyperlink" Target="http://internet.garant.ru/document/redirect/12154776/0" TargetMode="External"/><Relationship Id="rId51" Type="http://schemas.openxmlformats.org/officeDocument/2006/relationships/hyperlink" Target="http://internet.garant.ru/document/redirect/12138291/1924" TargetMode="External"/><Relationship Id="rId3" Type="http://schemas.microsoft.com/office/2007/relationships/stylesWithEffects" Target="stylesWithEffects.xml"/><Relationship Id="rId12" Type="http://schemas.openxmlformats.org/officeDocument/2006/relationships/hyperlink" Target="http://internet.garant.ru/document/redirect/12138291/0" TargetMode="External"/><Relationship Id="rId17" Type="http://schemas.openxmlformats.org/officeDocument/2006/relationships/hyperlink" Target="http://internet.garant.ru/document/redirect/24322827/0" TargetMode="External"/><Relationship Id="rId25" Type="http://schemas.openxmlformats.org/officeDocument/2006/relationships/hyperlink" Target="http://internet.garant.ru/document/redirect/12138291/5" TargetMode="External"/><Relationship Id="rId33" Type="http://schemas.openxmlformats.org/officeDocument/2006/relationships/hyperlink" Target="http://internet.garant.ru/document/redirect/70700450/703" TargetMode="External"/><Relationship Id="rId38" Type="http://schemas.openxmlformats.org/officeDocument/2006/relationships/hyperlink" Target="http://internet.garant.ru/document/redirect/71108170/0" TargetMode="External"/><Relationship Id="rId46" Type="http://schemas.openxmlformats.org/officeDocument/2006/relationships/hyperlink" Target="http://internet.garant.ru/document/redirect/12125267/141312" TargetMode="External"/><Relationship Id="rId20" Type="http://schemas.openxmlformats.org/officeDocument/2006/relationships/hyperlink" Target="http://internet.garant.ru/document/redirect/5368945/0" TargetMode="External"/><Relationship Id="rId41" Type="http://schemas.openxmlformats.org/officeDocument/2006/relationships/hyperlink" Target="http://internet.garant.ru/document/redirect/12125267/13192" TargetMode="External"/><Relationship Id="rId54" Type="http://schemas.openxmlformats.org/officeDocument/2006/relationships/hyperlink" Target="http://internet.garant.ru/document/redirect/12138291/5" TargetMode="External"/><Relationship Id="rId1" Type="http://schemas.openxmlformats.org/officeDocument/2006/relationships/numbering" Target="numbering.xml"/><Relationship Id="rId6" Type="http://schemas.openxmlformats.org/officeDocument/2006/relationships/hyperlink" Target="http://internet.garant.ru/document/redirect/12154776/0" TargetMode="External"/><Relationship Id="rId15" Type="http://schemas.openxmlformats.org/officeDocument/2006/relationships/hyperlink" Target="http://internet.garant.ru/document/redirect/24389882/1000" TargetMode="External"/><Relationship Id="rId23" Type="http://schemas.openxmlformats.org/officeDocument/2006/relationships/hyperlink" Target="http://internet.garant.ru/document/redirect/55183675/0" TargetMode="External"/><Relationship Id="rId28" Type="http://schemas.openxmlformats.org/officeDocument/2006/relationships/hyperlink" Target="http://internet.garant.ru/document/redirect/12138291/0" TargetMode="External"/><Relationship Id="rId36" Type="http://schemas.openxmlformats.org/officeDocument/2006/relationships/hyperlink" Target="http://internet.garant.ru/document/redirect/12138291/198" TargetMode="External"/><Relationship Id="rId49" Type="http://schemas.openxmlformats.org/officeDocument/2006/relationships/hyperlink" Target="http://internet.garant.ru/document/redirect/243250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12607</Words>
  <Characters>71862</Characters>
  <Application>Microsoft Office Word</Application>
  <DocSecurity>4</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Варульникова С.</cp:lastModifiedBy>
  <cp:revision>2</cp:revision>
  <cp:lastPrinted>2020-10-27T12:58:00Z</cp:lastPrinted>
  <dcterms:created xsi:type="dcterms:W3CDTF">2020-10-28T13:58:00Z</dcterms:created>
  <dcterms:modified xsi:type="dcterms:W3CDTF">2020-10-28T13:58:00Z</dcterms:modified>
</cp:coreProperties>
</file>